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D1F7" w14:textId="77777777" w:rsidR="006F4CEE" w:rsidRPr="008F439B" w:rsidRDefault="006F4CEE" w:rsidP="00B2016B">
      <w:pPr>
        <w:spacing w:after="120"/>
        <w:jc w:val="center"/>
        <w:rPr>
          <w:b/>
          <w:bCs/>
          <w:color w:val="5B1723"/>
          <w:sz w:val="22"/>
          <w:szCs w:val="22"/>
          <w:rtl/>
        </w:rPr>
      </w:pPr>
      <w:r w:rsidRPr="008F439B">
        <w:rPr>
          <w:b/>
          <w:bCs/>
          <w:color w:val="5B1723"/>
          <w:sz w:val="22"/>
          <w:szCs w:val="22"/>
        </w:rPr>
        <w:t xml:space="preserve">Designing AI-Supported Multimodal Russian Language Learning: A Conceptual Framework for Learner Autonomy, Critical AI Literacy, and Intercultural Competence </w:t>
      </w:r>
    </w:p>
    <w:p w14:paraId="413B75EE" w14:textId="1F48E6A3" w:rsidR="006F4CEE" w:rsidRDefault="009418F8" w:rsidP="00B2016B">
      <w:pPr>
        <w:spacing w:after="120"/>
        <w:ind w:left="1004" w:hanging="284"/>
        <w:rPr>
          <w:sz w:val="18"/>
          <w:szCs w:val="18"/>
          <w:rtl/>
        </w:rPr>
      </w:pPr>
      <w:r w:rsidRPr="009418F8">
        <w:rPr>
          <w:b/>
          <w:bCs/>
          <w:color w:val="4C94D8" w:themeColor="text2" w:themeTint="80"/>
          <w:sz w:val="15"/>
          <w:szCs w:val="15"/>
          <w:shd w:val="clear" w:color="auto" w:fill="FFFFFF"/>
        </w:rPr>
        <w:t>1</w:t>
      </w:r>
      <w:r>
        <w:rPr>
          <w:sz w:val="11"/>
          <w:szCs w:val="11"/>
          <w:shd w:val="clear" w:color="auto" w:fill="FFFFFF"/>
        </w:rPr>
        <w:t xml:space="preserve"> </w:t>
      </w:r>
      <w:proofErr w:type="spellStart"/>
      <w:r w:rsidR="006F4CEE" w:rsidRPr="009418F8">
        <w:rPr>
          <w:b/>
          <w:sz w:val="18"/>
          <w:szCs w:val="18"/>
        </w:rPr>
        <w:t>Mohammadmahdi</w:t>
      </w:r>
      <w:proofErr w:type="spellEnd"/>
      <w:r w:rsidR="006F4CEE" w:rsidRPr="009418F8">
        <w:rPr>
          <w:b/>
          <w:sz w:val="18"/>
          <w:szCs w:val="18"/>
        </w:rPr>
        <w:t xml:space="preserve"> Rubin</w:t>
      </w:r>
      <w:r>
        <w:rPr>
          <w:b/>
          <w:sz w:val="18"/>
          <w:szCs w:val="18"/>
        </w:rPr>
        <w:t xml:space="preserve"> </w:t>
      </w:r>
      <w:r w:rsidR="006F4CEE" w:rsidRPr="008E3D1B">
        <w:rPr>
          <w:i/>
          <w:sz w:val="18"/>
          <w:szCs w:val="18"/>
        </w:rPr>
        <w:t>Faculty of Languages and Foreign Literature, University of Tehran, Iran</w:t>
      </w:r>
      <w:r w:rsidR="003C7409">
        <w:rPr>
          <w:rFonts w:hint="cs"/>
          <w:sz w:val="18"/>
          <w:szCs w:val="18"/>
          <w:rtl/>
        </w:rPr>
        <w:t xml:space="preserve"> </w:t>
      </w:r>
      <w:r w:rsidR="00030DCF" w:rsidRPr="008E3D1B">
        <w:rPr>
          <w:rFonts w:hint="cs"/>
          <w:sz w:val="18"/>
          <w:szCs w:val="18"/>
          <w:rtl/>
        </w:rPr>
        <w:t xml:space="preserve">- </w:t>
      </w:r>
      <w:r w:rsidR="006F4CEE" w:rsidRPr="008E3D1B">
        <w:rPr>
          <w:sz w:val="18"/>
          <w:szCs w:val="18"/>
        </w:rPr>
        <w:t xml:space="preserve">ORCID: </w:t>
      </w:r>
      <w:hyperlink r:id="rId8" w:history="1">
        <w:r w:rsidR="006F4CEE" w:rsidRPr="008E3D1B">
          <w:rPr>
            <w:rStyle w:val="Hyperlink"/>
            <w:sz w:val="18"/>
            <w:szCs w:val="18"/>
          </w:rPr>
          <w:t>0009-0004-8475-2804</w:t>
        </w:r>
      </w:hyperlink>
      <w:r w:rsidR="003C7409">
        <w:rPr>
          <w:rFonts w:hint="cs"/>
          <w:sz w:val="18"/>
          <w:szCs w:val="18"/>
          <w:rtl/>
        </w:rPr>
        <w:t xml:space="preserve"> - </w:t>
      </w:r>
      <w:hyperlink r:id="rId9" w:history="1">
        <w:r w:rsidR="003C7409" w:rsidRPr="008E3D1B">
          <w:rPr>
            <w:rStyle w:val="Hyperlink"/>
            <w:sz w:val="18"/>
            <w:szCs w:val="18"/>
          </w:rPr>
          <w:t>mm.rubin@ut.ac.ir</w:t>
        </w:r>
      </w:hyperlink>
    </w:p>
    <w:p w14:paraId="6252A468" w14:textId="55695D89" w:rsidR="003C7409" w:rsidRDefault="003C7409" w:rsidP="00B2016B">
      <w:pPr>
        <w:ind w:left="1004" w:hanging="284"/>
        <w:rPr>
          <w:sz w:val="18"/>
          <w:szCs w:val="18"/>
          <w:rtl/>
        </w:rPr>
      </w:pPr>
      <w:r>
        <w:rPr>
          <w:b/>
          <w:bCs/>
          <w:color w:val="4C94D8" w:themeColor="text2" w:themeTint="80"/>
          <w:sz w:val="15"/>
          <w:szCs w:val="15"/>
          <w:shd w:val="clear" w:color="auto" w:fill="FFFFFF"/>
        </w:rPr>
        <w:t>2</w:t>
      </w:r>
      <w:r>
        <w:rPr>
          <w:sz w:val="11"/>
          <w:szCs w:val="11"/>
          <w:shd w:val="clear" w:color="auto" w:fill="FFFFFF"/>
        </w:rPr>
        <w:t xml:space="preserve"> </w:t>
      </w:r>
      <w:r>
        <w:rPr>
          <w:b/>
          <w:sz w:val="18"/>
          <w:szCs w:val="18"/>
        </w:rPr>
        <w:t>Fatemeh</w:t>
      </w:r>
      <w:r w:rsidRPr="009418F8">
        <w:rPr>
          <w:b/>
          <w:sz w:val="18"/>
          <w:szCs w:val="18"/>
        </w:rPr>
        <w:t xml:space="preserve"> </w:t>
      </w:r>
      <w:proofErr w:type="spellStart"/>
      <w:r>
        <w:rPr>
          <w:b/>
          <w:sz w:val="18"/>
          <w:szCs w:val="18"/>
        </w:rPr>
        <w:t>Kafshgari</w:t>
      </w:r>
      <w:proofErr w:type="spellEnd"/>
      <w:r>
        <w:rPr>
          <w:b/>
          <w:sz w:val="18"/>
          <w:szCs w:val="18"/>
        </w:rPr>
        <w:t xml:space="preserve"> </w:t>
      </w:r>
      <w:r w:rsidRPr="008E3D1B">
        <w:rPr>
          <w:i/>
          <w:sz w:val="18"/>
          <w:szCs w:val="18"/>
        </w:rPr>
        <w:t>Faculty of Languages and Foreign Literature, University of Tehran, Iran</w:t>
      </w:r>
      <w:r>
        <w:rPr>
          <w:rFonts w:hint="cs"/>
          <w:sz w:val="18"/>
          <w:szCs w:val="18"/>
          <w:rtl/>
        </w:rPr>
        <w:t xml:space="preserve"> </w:t>
      </w:r>
      <w:r w:rsidRPr="008E3D1B">
        <w:rPr>
          <w:rFonts w:hint="cs"/>
          <w:sz w:val="18"/>
          <w:szCs w:val="18"/>
          <w:rtl/>
        </w:rPr>
        <w:t xml:space="preserve">- </w:t>
      </w:r>
      <w:r w:rsidRPr="008E3D1B">
        <w:rPr>
          <w:sz w:val="18"/>
          <w:szCs w:val="18"/>
        </w:rPr>
        <w:t xml:space="preserve">ORCID: </w:t>
      </w:r>
      <w:hyperlink r:id="rId10" w:history="1">
        <w:r w:rsidRPr="008E3D1B">
          <w:rPr>
            <w:rStyle w:val="Hyperlink"/>
            <w:sz w:val="18"/>
            <w:szCs w:val="18"/>
          </w:rPr>
          <w:t>0009-0004-8475-2804</w:t>
        </w:r>
      </w:hyperlink>
      <w:r>
        <w:rPr>
          <w:rFonts w:hint="cs"/>
          <w:sz w:val="18"/>
          <w:szCs w:val="18"/>
          <w:rtl/>
        </w:rPr>
        <w:t xml:space="preserve"> </w:t>
      </w:r>
      <w:r w:rsidR="008744D9">
        <w:rPr>
          <w:rFonts w:hint="cs"/>
          <w:sz w:val="18"/>
          <w:szCs w:val="18"/>
          <w:rtl/>
        </w:rPr>
        <w:t>-</w:t>
      </w:r>
      <w:r>
        <w:rPr>
          <w:rFonts w:hint="cs"/>
          <w:sz w:val="18"/>
          <w:szCs w:val="18"/>
          <w:rtl/>
        </w:rPr>
        <w:t xml:space="preserve"> </w:t>
      </w:r>
      <w:hyperlink r:id="rId11" w:history="1">
        <w:r w:rsidR="008744D9" w:rsidRPr="00457942">
          <w:rPr>
            <w:rStyle w:val="Hyperlink"/>
            <w:sz w:val="18"/>
            <w:szCs w:val="18"/>
          </w:rPr>
          <w:t>f.kafshgari@gmail.com</w:t>
        </w:r>
      </w:hyperlink>
    </w:p>
    <w:p w14:paraId="7B8D52FF" w14:textId="77777777" w:rsidR="003C7409" w:rsidRPr="003C7409" w:rsidRDefault="003C7409" w:rsidP="00915C15">
      <w:pPr>
        <w:ind w:left="720"/>
        <w:rPr>
          <w:sz w:val="20"/>
          <w:szCs w:val="20"/>
        </w:rPr>
      </w:pPr>
    </w:p>
    <w:tbl>
      <w:tblPr>
        <w:tblStyle w:val="TableGrid"/>
        <w:tblW w:w="9364" w:type="dxa"/>
        <w:tblInd w:w="284" w:type="dxa"/>
        <w:tblLayout w:type="fixed"/>
        <w:tblLook w:val="04A0" w:firstRow="1" w:lastRow="0" w:firstColumn="1" w:lastColumn="0" w:noHBand="0" w:noVBand="1"/>
      </w:tblPr>
      <w:tblGrid>
        <w:gridCol w:w="2409"/>
        <w:gridCol w:w="6955"/>
      </w:tblGrid>
      <w:tr w:rsidR="009E5B2E" w14:paraId="77ABD010" w14:textId="77777777" w:rsidTr="00850E38">
        <w:trPr>
          <w:trHeight w:val="148"/>
        </w:trPr>
        <w:tc>
          <w:tcPr>
            <w:tcW w:w="2409" w:type="dxa"/>
            <w:vMerge w:val="restart"/>
            <w:tcBorders>
              <w:top w:val="nil"/>
              <w:left w:val="nil"/>
              <w:bottom w:val="nil"/>
              <w:right w:val="nil"/>
            </w:tcBorders>
          </w:tcPr>
          <w:p w14:paraId="0D3DF2B7" w14:textId="77777777" w:rsidR="008E3D1B" w:rsidRDefault="008E3D1B" w:rsidP="000F5DBD">
            <w:pPr>
              <w:shd w:val="clear" w:color="auto" w:fill="C1E4F5" w:themeFill="accent1" w:themeFillTint="33"/>
              <w:rPr>
                <w:sz w:val="16"/>
                <w:szCs w:val="16"/>
                <w:rtl/>
              </w:rPr>
            </w:pPr>
            <w:r w:rsidRPr="00850E38">
              <w:rPr>
                <w:b/>
                <w:bCs/>
                <w:sz w:val="16"/>
                <w:szCs w:val="16"/>
              </w:rPr>
              <w:t xml:space="preserve">Vol. 1.  </w:t>
            </w:r>
            <w:proofErr w:type="gramStart"/>
            <w:r w:rsidRPr="00850E38">
              <w:rPr>
                <w:b/>
                <w:bCs/>
                <w:sz w:val="16"/>
                <w:szCs w:val="16"/>
              </w:rPr>
              <w:t>·  Issue</w:t>
            </w:r>
            <w:proofErr w:type="gramEnd"/>
            <w:r w:rsidRPr="00850E38">
              <w:rPr>
                <w:b/>
                <w:bCs/>
                <w:sz w:val="16"/>
                <w:szCs w:val="16"/>
              </w:rPr>
              <w:t xml:space="preserve"> </w:t>
            </w:r>
            <w:proofErr w:type="gramStart"/>
            <w:r w:rsidRPr="00850E38">
              <w:rPr>
                <w:b/>
                <w:bCs/>
                <w:sz w:val="16"/>
                <w:szCs w:val="16"/>
              </w:rPr>
              <w:t>2  ·</w:t>
            </w:r>
            <w:proofErr w:type="gramEnd"/>
            <w:r w:rsidRPr="00850E38">
              <w:rPr>
                <w:b/>
                <w:bCs/>
                <w:sz w:val="16"/>
                <w:szCs w:val="16"/>
              </w:rPr>
              <w:t xml:space="preserve">  Year 2026</w:t>
            </w:r>
            <w:r w:rsidRPr="008E3D1B">
              <w:rPr>
                <w:sz w:val="16"/>
                <w:szCs w:val="16"/>
              </w:rPr>
              <w:t xml:space="preserve">    </w:t>
            </w:r>
            <w:r w:rsidRPr="00850E38">
              <w:rPr>
                <w:b/>
                <w:bCs/>
                <w:sz w:val="16"/>
                <w:szCs w:val="16"/>
              </w:rPr>
              <w:t>Article type:</w:t>
            </w:r>
            <w:r w:rsidRPr="008E3D1B">
              <w:rPr>
                <w:sz w:val="16"/>
                <w:szCs w:val="16"/>
              </w:rPr>
              <w:t xml:space="preserve"> Research</w:t>
            </w:r>
          </w:p>
          <w:p w14:paraId="1F61ABD5" w14:textId="2884E47A" w:rsidR="008E3D1B" w:rsidRPr="008E3D1B" w:rsidRDefault="008E3D1B" w:rsidP="000F5DBD">
            <w:pPr>
              <w:shd w:val="clear" w:color="auto" w:fill="C1E4F5" w:themeFill="accent1" w:themeFillTint="33"/>
              <w:rPr>
                <w:sz w:val="16"/>
                <w:szCs w:val="16"/>
                <w:rtl/>
              </w:rPr>
            </w:pPr>
            <w:r w:rsidRPr="00850E38">
              <w:rPr>
                <w:b/>
                <w:bCs/>
                <w:sz w:val="16"/>
                <w:szCs w:val="16"/>
              </w:rPr>
              <w:t>pp.</w:t>
            </w:r>
            <w:r w:rsidRPr="008E3D1B">
              <w:rPr>
                <w:sz w:val="16"/>
                <w:szCs w:val="16"/>
              </w:rPr>
              <w:t xml:space="preserve"> 01 – 14</w:t>
            </w:r>
          </w:p>
          <w:p w14:paraId="33ED71DB" w14:textId="0ADEC614" w:rsidR="009E5B2E" w:rsidRPr="00E422C8" w:rsidRDefault="009E5B2E" w:rsidP="000F5DBD">
            <w:pPr>
              <w:shd w:val="clear" w:color="auto" w:fill="C1E4F5" w:themeFill="accent1" w:themeFillTint="33"/>
              <w:spacing w:before="160" w:after="80"/>
              <w:rPr>
                <w:sz w:val="20"/>
                <w:szCs w:val="20"/>
              </w:rPr>
            </w:pPr>
            <w:r w:rsidRPr="00A57DA5">
              <w:rPr>
                <w:b/>
                <w:bCs/>
                <w:sz w:val="18"/>
                <w:szCs w:val="18"/>
              </w:rPr>
              <w:t>Received</w:t>
            </w:r>
            <w:r w:rsidRPr="00A57DA5">
              <w:rPr>
                <w:sz w:val="18"/>
                <w:szCs w:val="18"/>
              </w:rPr>
              <w:t xml:space="preserve"> 23 February </w:t>
            </w:r>
            <w:r w:rsidRPr="00F77E69">
              <w:rPr>
                <w:sz w:val="18"/>
                <w:szCs w:val="18"/>
              </w:rPr>
              <w:t>2026</w:t>
            </w:r>
          </w:p>
          <w:p w14:paraId="3735BFE4" w14:textId="77777777" w:rsidR="009E5B2E" w:rsidRPr="00E422C8" w:rsidRDefault="009E5B2E" w:rsidP="000F5DBD">
            <w:pPr>
              <w:shd w:val="clear" w:color="auto" w:fill="C1E4F5" w:themeFill="accent1" w:themeFillTint="33"/>
              <w:spacing w:before="160" w:after="80"/>
              <w:rPr>
                <w:sz w:val="20"/>
                <w:szCs w:val="20"/>
              </w:rPr>
            </w:pPr>
            <w:r w:rsidRPr="00A57DA5">
              <w:rPr>
                <w:b/>
                <w:bCs/>
                <w:sz w:val="18"/>
                <w:szCs w:val="18"/>
              </w:rPr>
              <w:t>Accepted</w:t>
            </w:r>
            <w:r w:rsidRPr="00A57DA5">
              <w:rPr>
                <w:sz w:val="18"/>
                <w:szCs w:val="18"/>
              </w:rPr>
              <w:t xml:space="preserve"> 27 April 2026</w:t>
            </w:r>
          </w:p>
          <w:p w14:paraId="240F65CC" w14:textId="77777777" w:rsidR="009E5B2E" w:rsidRPr="00E422C8" w:rsidRDefault="009E5B2E" w:rsidP="000F5DBD">
            <w:pPr>
              <w:shd w:val="clear" w:color="auto" w:fill="C1E4F5" w:themeFill="accent1" w:themeFillTint="33"/>
              <w:spacing w:before="160" w:after="80"/>
              <w:rPr>
                <w:sz w:val="20"/>
                <w:szCs w:val="20"/>
              </w:rPr>
            </w:pPr>
            <w:r w:rsidRPr="00A57DA5">
              <w:rPr>
                <w:b/>
                <w:bCs/>
                <w:sz w:val="18"/>
                <w:szCs w:val="18"/>
              </w:rPr>
              <w:t>Published</w:t>
            </w:r>
            <w:r w:rsidRPr="00A57DA5">
              <w:rPr>
                <w:sz w:val="18"/>
                <w:szCs w:val="18"/>
              </w:rPr>
              <w:t xml:space="preserve"> 16 May 2026</w:t>
            </w:r>
          </w:p>
          <w:p w14:paraId="7DC10006" w14:textId="77777777" w:rsidR="009E5B2E" w:rsidRPr="00A57DA5" w:rsidRDefault="009E5B2E" w:rsidP="000F5DBD">
            <w:pPr>
              <w:shd w:val="clear" w:color="auto" w:fill="C1E4F5" w:themeFill="accent1" w:themeFillTint="33"/>
              <w:rPr>
                <w:b/>
                <w:bCs/>
                <w:sz w:val="18"/>
                <w:szCs w:val="18"/>
              </w:rPr>
            </w:pPr>
            <w:r w:rsidRPr="00A57DA5">
              <w:rPr>
                <w:b/>
                <w:bCs/>
                <w:sz w:val="18"/>
                <w:szCs w:val="18"/>
              </w:rPr>
              <w:t>Corresponding Author</w:t>
            </w:r>
          </w:p>
          <w:p w14:paraId="55870055" w14:textId="77777777" w:rsidR="008744D9" w:rsidRDefault="008744D9" w:rsidP="000F5DBD">
            <w:pPr>
              <w:shd w:val="clear" w:color="auto" w:fill="C1E4F5" w:themeFill="accent1" w:themeFillTint="33"/>
              <w:jc w:val="both"/>
              <w:rPr>
                <w:sz w:val="18"/>
                <w:szCs w:val="18"/>
              </w:rPr>
            </w:pPr>
            <w:hyperlink r:id="rId12" w:history="1">
              <w:hyperlink r:id="rId13" w:history="1">
                <w:r w:rsidRPr="008E3D1B">
                  <w:rPr>
                    <w:rStyle w:val="Hyperlink"/>
                    <w:sz w:val="18"/>
                    <w:szCs w:val="18"/>
                  </w:rPr>
                  <w:t>mm.rubin@ut.ac.ir</w:t>
                </w:r>
              </w:hyperlink>
            </w:hyperlink>
          </w:p>
          <w:p w14:paraId="36F504DF" w14:textId="7CA687EF" w:rsidR="009E5B2E" w:rsidRPr="00A57DA5" w:rsidRDefault="009E5B2E" w:rsidP="00F77E69">
            <w:pPr>
              <w:jc w:val="both"/>
              <w:rPr>
                <w:sz w:val="18"/>
                <w:szCs w:val="18"/>
              </w:rPr>
            </w:pPr>
            <w:r w:rsidRPr="00A57DA5">
              <w:rPr>
                <w:b/>
                <w:bCs/>
                <w:sz w:val="18"/>
                <w:szCs w:val="18"/>
              </w:rPr>
              <w:t>Funding:</w:t>
            </w:r>
            <w:r w:rsidRPr="00A57DA5">
              <w:rPr>
                <w:sz w:val="18"/>
                <w:szCs w:val="18"/>
              </w:rPr>
              <w:t xml:space="preserve"> This research received no</w:t>
            </w:r>
            <w:r w:rsidR="00850E38">
              <w:rPr>
                <w:rFonts w:hint="cs"/>
                <w:sz w:val="18"/>
                <w:szCs w:val="18"/>
                <w:rtl/>
              </w:rPr>
              <w:t xml:space="preserve"> </w:t>
            </w:r>
            <w:r w:rsidRPr="00A57DA5">
              <w:rPr>
                <w:sz w:val="18"/>
                <w:szCs w:val="18"/>
              </w:rPr>
              <w:t>specific grant from any funding agency in</w:t>
            </w:r>
            <w:r w:rsidR="009C5E71">
              <w:rPr>
                <w:sz w:val="18"/>
                <w:szCs w:val="18"/>
              </w:rPr>
              <w:t xml:space="preserve"> </w:t>
            </w:r>
            <w:r w:rsidRPr="00A57DA5">
              <w:rPr>
                <w:sz w:val="18"/>
                <w:szCs w:val="18"/>
              </w:rPr>
              <w:t>the public, commercial, or not-for-</w:t>
            </w:r>
            <w:proofErr w:type="spellStart"/>
            <w:r w:rsidRPr="00A57DA5">
              <w:rPr>
                <w:sz w:val="18"/>
                <w:szCs w:val="18"/>
              </w:rPr>
              <w:t>profitsectors</w:t>
            </w:r>
            <w:proofErr w:type="spellEnd"/>
            <w:r w:rsidRPr="00A57DA5">
              <w:rPr>
                <w:sz w:val="18"/>
                <w:szCs w:val="18"/>
              </w:rPr>
              <w:t>.</w:t>
            </w:r>
          </w:p>
          <w:p w14:paraId="70C8B627" w14:textId="490BC65F" w:rsidR="009E5B2E" w:rsidRDefault="009418F8" w:rsidP="00A57DA5">
            <w:pPr>
              <w:spacing w:before="160" w:after="80"/>
              <w:jc w:val="both"/>
              <w:rPr>
                <w:b/>
                <w:bCs/>
                <w:sz w:val="18"/>
                <w:szCs w:val="18"/>
              </w:rPr>
            </w:pPr>
            <w:r>
              <w:rPr>
                <w:noProof/>
                <w:sz w:val="20"/>
                <w:szCs w:val="20"/>
              </w:rPr>
              <w:drawing>
                <wp:anchor distT="0" distB="0" distL="114300" distR="114300" simplePos="0" relativeHeight="251677696" behindDoc="0" locked="0" layoutInCell="1" allowOverlap="1" wp14:anchorId="055266AD" wp14:editId="6680F792">
                  <wp:simplePos x="0" y="0"/>
                  <wp:positionH relativeFrom="column">
                    <wp:posOffset>6875</wp:posOffset>
                  </wp:positionH>
                  <wp:positionV relativeFrom="paragraph">
                    <wp:posOffset>83007</wp:posOffset>
                  </wp:positionV>
                  <wp:extent cx="527498" cy="173355"/>
                  <wp:effectExtent l="0" t="0" r="0" b="6350"/>
                  <wp:wrapNone/>
                  <wp:docPr id="19233849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84911" name="Picture 4"/>
                          <pic:cNvPicPr/>
                        </pic:nvPicPr>
                        <pic:blipFill>
                          <a:blip r:embed="rId14">
                            <a:extLst>
                              <a:ext uri="{96DAC541-7B7A-43D3-8B79-37D633B846F1}">
                                <asvg:svgBlip xmlns:asvg="http://schemas.microsoft.com/office/drawing/2016/SVG/main" r:embed="rId15"/>
                              </a:ext>
                            </a:extLst>
                          </a:blip>
                          <a:stretch>
                            <a:fillRect/>
                          </a:stretch>
                        </pic:blipFill>
                        <pic:spPr>
                          <a:xfrm>
                            <a:off x="0" y="0"/>
                            <a:ext cx="527498" cy="173355"/>
                          </a:xfrm>
                          <a:prstGeom prst="rect">
                            <a:avLst/>
                          </a:prstGeom>
                        </pic:spPr>
                      </pic:pic>
                    </a:graphicData>
                  </a:graphic>
                  <wp14:sizeRelH relativeFrom="margin">
                    <wp14:pctWidth>0</wp14:pctWidth>
                  </wp14:sizeRelH>
                  <wp14:sizeRelV relativeFrom="margin">
                    <wp14:pctHeight>0</wp14:pctHeight>
                  </wp14:sizeRelV>
                </wp:anchor>
              </w:drawing>
            </w:r>
          </w:p>
          <w:p w14:paraId="59AC78EE" w14:textId="77777777" w:rsidR="009418F8" w:rsidRDefault="00002C41" w:rsidP="00002C41">
            <w:pPr>
              <w:jc w:val="both"/>
              <w:rPr>
                <w:sz w:val="18"/>
                <w:szCs w:val="18"/>
                <w:rtl/>
              </w:rPr>
            </w:pPr>
            <w:r w:rsidRPr="009418F8">
              <w:rPr>
                <w:b/>
                <w:bCs/>
                <w:sz w:val="18"/>
                <w:szCs w:val="18"/>
              </w:rPr>
              <w:t>Copyright:</w:t>
            </w:r>
            <w:r w:rsidRPr="00002C41">
              <w:rPr>
                <w:sz w:val="18"/>
                <w:szCs w:val="18"/>
              </w:rPr>
              <w:t xml:space="preserve"> © 2026 the </w:t>
            </w:r>
            <w:proofErr w:type="gramStart"/>
            <w:r w:rsidRPr="00002C41">
              <w:rPr>
                <w:sz w:val="18"/>
                <w:szCs w:val="18"/>
              </w:rPr>
              <w:t>author</w:t>
            </w:r>
            <w:r w:rsidR="009418F8">
              <w:rPr>
                <w:rFonts w:hint="cs"/>
                <w:sz w:val="18"/>
                <w:szCs w:val="18"/>
                <w:rtl/>
              </w:rPr>
              <w:t>)</w:t>
            </w:r>
            <w:r w:rsidRPr="00002C41">
              <w:rPr>
                <w:sz w:val="18"/>
                <w:szCs w:val="18"/>
              </w:rPr>
              <w:t>s</w:t>
            </w:r>
            <w:proofErr w:type="gramEnd"/>
            <w:r w:rsidR="009418F8">
              <w:rPr>
                <w:rFonts w:hint="cs"/>
                <w:sz w:val="18"/>
                <w:szCs w:val="18"/>
                <w:rtl/>
              </w:rPr>
              <w:t>(</w:t>
            </w:r>
            <w:r w:rsidRPr="00002C41">
              <w:rPr>
                <w:sz w:val="18"/>
                <w:szCs w:val="18"/>
              </w:rPr>
              <w:t xml:space="preserve">. </w:t>
            </w:r>
          </w:p>
          <w:p w14:paraId="05C4935F" w14:textId="51C6FB88" w:rsidR="00002C41" w:rsidRPr="00002C41" w:rsidRDefault="00002C41" w:rsidP="00002C41">
            <w:pPr>
              <w:jc w:val="both"/>
              <w:rPr>
                <w:sz w:val="18"/>
                <w:szCs w:val="18"/>
              </w:rPr>
            </w:pPr>
            <w:r w:rsidRPr="00002C41">
              <w:rPr>
                <w:sz w:val="18"/>
                <w:szCs w:val="18"/>
              </w:rPr>
              <w:t>Licensee Russian Language Studies Journal. This article is an open access article distributed under the terms and conditions of the Creative Commons Attribution (CC BY) license (</w:t>
            </w:r>
            <w:hyperlink r:id="rId16" w:history="1">
              <w:r w:rsidRPr="00BF111F">
                <w:rPr>
                  <w:rStyle w:val="Hyperlink"/>
                  <w:sz w:val="18"/>
                  <w:szCs w:val="18"/>
                </w:rPr>
                <w:t>https://creativecommons.org/licenses/by/4.0/</w:t>
              </w:r>
            </w:hyperlink>
            <w:r w:rsidRPr="00002C41">
              <w:rPr>
                <w:sz w:val="18"/>
                <w:szCs w:val="18"/>
              </w:rPr>
              <w:t>).</w:t>
            </w:r>
          </w:p>
          <w:p w14:paraId="62E205F0" w14:textId="1BB9CB3F" w:rsidR="009E5B2E" w:rsidRPr="00A57DA5" w:rsidRDefault="009418F8" w:rsidP="00F77E69">
            <w:pPr>
              <w:spacing w:after="80"/>
              <w:jc w:val="both"/>
              <w:rPr>
                <w:b/>
                <w:bCs/>
                <w:sz w:val="18"/>
                <w:szCs w:val="18"/>
              </w:rPr>
            </w:pPr>
            <w:r>
              <w:rPr>
                <w:noProof/>
                <w:sz w:val="18"/>
                <w:szCs w:val="18"/>
              </w:rPr>
              <w:drawing>
                <wp:anchor distT="0" distB="0" distL="114300" distR="114300" simplePos="0" relativeHeight="251676672" behindDoc="0" locked="0" layoutInCell="1" allowOverlap="1" wp14:anchorId="53513BC2" wp14:editId="4038BB19">
                  <wp:simplePos x="0" y="0"/>
                  <wp:positionH relativeFrom="column">
                    <wp:posOffset>191730</wp:posOffset>
                  </wp:positionH>
                  <wp:positionV relativeFrom="paragraph">
                    <wp:posOffset>179695</wp:posOffset>
                  </wp:positionV>
                  <wp:extent cx="843566" cy="304499"/>
                  <wp:effectExtent l="0" t="0" r="0" b="635"/>
                  <wp:wrapNone/>
                  <wp:docPr id="1725209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09059" name="Picture 172520905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43566" cy="304499"/>
                          </a:xfrm>
                          <a:prstGeom prst="rect">
                            <a:avLst/>
                          </a:prstGeom>
                        </pic:spPr>
                      </pic:pic>
                    </a:graphicData>
                  </a:graphic>
                  <wp14:sizeRelH relativeFrom="margin">
                    <wp14:pctWidth>0</wp14:pctWidth>
                  </wp14:sizeRelH>
                  <wp14:sizeRelV relativeFrom="margin">
                    <wp14:pctHeight>0</wp14:pctHeight>
                  </wp14:sizeRelV>
                </wp:anchor>
              </w:drawing>
            </w:r>
            <w:r w:rsidRPr="009418F8">
              <w:rPr>
                <w:sz w:val="18"/>
                <w:szCs w:val="18"/>
              </w:rPr>
              <w:t xml:space="preserve"> </w:t>
            </w:r>
          </w:p>
        </w:tc>
        <w:tc>
          <w:tcPr>
            <w:tcW w:w="6955" w:type="dxa"/>
            <w:tcBorders>
              <w:top w:val="nil"/>
              <w:left w:val="nil"/>
              <w:bottom w:val="nil"/>
              <w:right w:val="nil"/>
            </w:tcBorders>
            <w:shd w:val="clear" w:color="auto" w:fill="F1A983" w:themeFill="accent2" w:themeFillTint="99"/>
            <w:vAlign w:val="center"/>
          </w:tcPr>
          <w:p w14:paraId="140AA6C0" w14:textId="0D83C6F0" w:rsidR="009E5B2E" w:rsidRPr="009C5E71" w:rsidRDefault="009C5E71" w:rsidP="009C5E71">
            <w:pPr>
              <w:pStyle w:val="ListParagraph"/>
              <w:rPr>
                <w:highlight w:val="blue"/>
              </w:rPr>
            </w:pPr>
            <w:r w:rsidRPr="009C5E71">
              <w:t>ABSTRACT</w:t>
            </w:r>
          </w:p>
        </w:tc>
      </w:tr>
      <w:tr w:rsidR="009C5E71" w14:paraId="2923DD93" w14:textId="77777777" w:rsidTr="00850E38">
        <w:trPr>
          <w:trHeight w:val="2405"/>
        </w:trPr>
        <w:tc>
          <w:tcPr>
            <w:tcW w:w="2409" w:type="dxa"/>
            <w:vMerge/>
            <w:tcBorders>
              <w:top w:val="nil"/>
              <w:left w:val="nil"/>
              <w:bottom w:val="nil"/>
              <w:right w:val="nil"/>
            </w:tcBorders>
          </w:tcPr>
          <w:p w14:paraId="41E63225" w14:textId="77777777" w:rsidR="009C5E71" w:rsidRPr="00A57DA5" w:rsidRDefault="009C5E71" w:rsidP="00E422C8">
            <w:pPr>
              <w:spacing w:before="160" w:after="80"/>
              <w:rPr>
                <w:b/>
                <w:bCs/>
                <w:sz w:val="18"/>
                <w:szCs w:val="18"/>
              </w:rPr>
            </w:pPr>
          </w:p>
        </w:tc>
        <w:tc>
          <w:tcPr>
            <w:tcW w:w="6955" w:type="dxa"/>
            <w:tcBorders>
              <w:top w:val="nil"/>
              <w:left w:val="nil"/>
              <w:bottom w:val="nil"/>
              <w:right w:val="nil"/>
            </w:tcBorders>
            <w:shd w:val="clear" w:color="auto" w:fill="FAE2D5" w:themeFill="accent2" w:themeFillTint="33"/>
          </w:tcPr>
          <w:p w14:paraId="1042623B" w14:textId="77777777" w:rsidR="00850E38" w:rsidRDefault="009C5E71" w:rsidP="009C5E71">
            <w:pPr>
              <w:spacing w:after="160"/>
              <w:jc w:val="both"/>
              <w:rPr>
                <w:rFonts w:cs="Arial"/>
                <w:sz w:val="18"/>
                <w:szCs w:val="18"/>
                <w:rtl/>
              </w:rPr>
            </w:pPr>
            <w:r w:rsidRPr="00E422C8">
              <w:rPr>
                <w:rFonts w:cs="Arial"/>
                <w:sz w:val="18"/>
                <w:szCs w:val="18"/>
              </w:rPr>
              <w:t xml:space="preserve">The rapid expansion of generative artificial intelligence (GenAI) is changing the conditions under which foreign languages are taught and learned. In Russian language education, AI-based conversational systems, automated feedback, adaptive content generation, and multimodal digital resources create new possibilities for individualized practice and contextualized communication. </w:t>
            </w:r>
          </w:p>
          <w:p w14:paraId="04C3DF16" w14:textId="758F29C5" w:rsidR="009C5E71" w:rsidRPr="00E422C8" w:rsidRDefault="009C5E71" w:rsidP="009C5E71">
            <w:pPr>
              <w:spacing w:after="160"/>
              <w:jc w:val="both"/>
              <w:rPr>
                <w:rFonts w:cs="Arial"/>
                <w:sz w:val="18"/>
                <w:szCs w:val="18"/>
              </w:rPr>
            </w:pPr>
            <w:r w:rsidRPr="00E422C8">
              <w:rPr>
                <w:rFonts w:cs="Arial"/>
                <w:sz w:val="18"/>
                <w:szCs w:val="18"/>
              </w:rPr>
              <w:t xml:space="preserve">At the same time, the availability of these technologies raises pedagogical questions concerning learner autonomy, critical evaluation of machine-generated information, cognitive overload, cultural interpretation, and the changing role of the teacher. </w:t>
            </w:r>
          </w:p>
          <w:p w14:paraId="4BC6EAAD" w14:textId="77777777" w:rsidR="00850E38" w:rsidRDefault="009C5E71" w:rsidP="009C5E71">
            <w:pPr>
              <w:spacing w:after="160"/>
              <w:jc w:val="both"/>
              <w:rPr>
                <w:rFonts w:cs="Arial"/>
                <w:sz w:val="18"/>
                <w:szCs w:val="18"/>
                <w:rtl/>
              </w:rPr>
            </w:pPr>
            <w:r w:rsidRPr="00E422C8">
              <w:rPr>
                <w:rFonts w:cs="Arial"/>
                <w:sz w:val="18"/>
                <w:szCs w:val="18"/>
              </w:rPr>
              <w:t xml:space="preserve">This conceptual article develops a framework for AI-supported multimodal Russian language learning that connects technological affordances with learner development rather than treating technology as an educational outcome in itself. The proposed framework is organized around five mutually dependent dimensions: AI-supported personalization, multimodal task design, learner autonomy, critical AI literacy, and intercultural communicative competence. </w:t>
            </w:r>
          </w:p>
          <w:p w14:paraId="2BF51E11" w14:textId="77777777" w:rsidR="00850E38" w:rsidRDefault="009C5E71" w:rsidP="009C5E71">
            <w:pPr>
              <w:spacing w:after="160"/>
              <w:jc w:val="both"/>
              <w:rPr>
                <w:rFonts w:cs="Arial"/>
                <w:sz w:val="18"/>
                <w:szCs w:val="18"/>
                <w:rtl/>
              </w:rPr>
            </w:pPr>
            <w:r w:rsidRPr="00E422C8">
              <w:rPr>
                <w:rFonts w:cs="Arial"/>
                <w:sz w:val="18"/>
                <w:szCs w:val="18"/>
              </w:rPr>
              <w:t xml:space="preserve">The framework argues that AI becomes educationally productive when learners actively select, evaluate, adapt, and reflect on digital resources within purposeful pedagogical sequences. Multimodal learning is therefore treated not as the simple accumulation of text, audio, image, video, and dialogue, but as the coordinated use of modes to construct meaning and support linguistic action. </w:t>
            </w:r>
          </w:p>
          <w:p w14:paraId="371E86BD" w14:textId="2925D8A6" w:rsidR="009C5E71" w:rsidRDefault="009C5E71" w:rsidP="009C5E71">
            <w:pPr>
              <w:spacing w:after="160"/>
              <w:jc w:val="both"/>
              <w:rPr>
                <w:b/>
                <w:bCs/>
                <w:color w:val="8B2635"/>
                <w:sz w:val="20"/>
                <w:szCs w:val="20"/>
              </w:rPr>
            </w:pPr>
            <w:r w:rsidRPr="00E422C8">
              <w:rPr>
                <w:rFonts w:cs="Arial"/>
                <w:sz w:val="18"/>
                <w:szCs w:val="18"/>
              </w:rPr>
              <w:t>The article further proposes that critical AI literacy should be integrated into Russian language instruction so that learners can recognize uncertainty, detect inappropriate or biased outputs, and compare AI responses with reliable linguistic and cultural sources. The resulting framework provides a conceptual basis for curriculum planning, teacher mediation, assessment design, and future empirical research in Russian as a foreign language.</w:t>
            </w:r>
            <w:r w:rsidR="00B2016B">
              <w:rPr>
                <w:rFonts w:cs="Arial"/>
                <w:sz w:val="18"/>
                <w:szCs w:val="18"/>
              </w:rPr>
              <w:t xml:space="preserve"> </w:t>
            </w:r>
          </w:p>
        </w:tc>
      </w:tr>
      <w:tr w:rsidR="009E5B2E" w14:paraId="45798C5B" w14:textId="77777777" w:rsidTr="00850E38">
        <w:trPr>
          <w:trHeight w:val="2405"/>
        </w:trPr>
        <w:tc>
          <w:tcPr>
            <w:tcW w:w="2409" w:type="dxa"/>
            <w:vMerge/>
            <w:tcBorders>
              <w:top w:val="nil"/>
              <w:left w:val="nil"/>
              <w:bottom w:val="nil"/>
              <w:right w:val="nil"/>
            </w:tcBorders>
          </w:tcPr>
          <w:p w14:paraId="53B83612" w14:textId="77777777" w:rsidR="009E5B2E" w:rsidRPr="00A57DA5" w:rsidRDefault="009E5B2E" w:rsidP="00E422C8">
            <w:pPr>
              <w:spacing w:before="160" w:after="80"/>
              <w:rPr>
                <w:b/>
                <w:bCs/>
                <w:sz w:val="18"/>
                <w:szCs w:val="18"/>
              </w:rPr>
            </w:pPr>
          </w:p>
        </w:tc>
        <w:tc>
          <w:tcPr>
            <w:tcW w:w="6955" w:type="dxa"/>
            <w:tcBorders>
              <w:top w:val="nil"/>
              <w:left w:val="nil"/>
              <w:bottom w:val="nil"/>
              <w:right w:val="nil"/>
            </w:tcBorders>
          </w:tcPr>
          <w:p w14:paraId="5CFF33F8" w14:textId="65B07D6C" w:rsidR="00CA5CF1" w:rsidRPr="005C1233" w:rsidRDefault="009E5B2E" w:rsidP="005C1233">
            <w:pPr>
              <w:spacing w:after="160"/>
              <w:jc w:val="both"/>
              <w:rPr>
                <w:rFonts w:cs="Arial"/>
                <w:sz w:val="18"/>
                <w:szCs w:val="18"/>
              </w:rPr>
            </w:pPr>
            <w:r>
              <w:rPr>
                <w:b/>
                <w:bCs/>
                <w:color w:val="8B2635"/>
                <w:sz w:val="20"/>
                <w:szCs w:val="20"/>
              </w:rPr>
              <w:t xml:space="preserve">Keywords: </w:t>
            </w:r>
            <w:r w:rsidRPr="00E422C8">
              <w:rPr>
                <w:rFonts w:cs="Arial"/>
                <w:sz w:val="18"/>
                <w:szCs w:val="18"/>
              </w:rPr>
              <w:t>Artificial Intelligence; Russian as a Foreign Language; Multimodal Learning; Learner Autonomy; Critical AI Literacy; Intercultural Communicative Competence</w:t>
            </w:r>
          </w:p>
        </w:tc>
      </w:tr>
    </w:tbl>
    <w:p w14:paraId="22A1FE82" w14:textId="354D8FC0" w:rsidR="00841E8C" w:rsidRPr="006F4CEE" w:rsidRDefault="00000000" w:rsidP="006F4CEE">
      <w:pPr>
        <w:spacing w:after="200"/>
        <w:rPr>
          <w:b/>
          <w:bCs/>
          <w:color w:val="5B1723"/>
          <w:sz w:val="26"/>
          <w:szCs w:val="26"/>
        </w:rPr>
      </w:pPr>
      <w:r w:rsidRPr="006F4CEE">
        <w:rPr>
          <w:b/>
          <w:bCs/>
          <w:color w:val="5B1723"/>
          <w:sz w:val="26"/>
          <w:szCs w:val="26"/>
        </w:rPr>
        <w:t>1. Introduction</w:t>
      </w:r>
    </w:p>
    <w:p w14:paraId="285476BD" w14:textId="7D0767E3" w:rsidR="006F4CEE" w:rsidRDefault="006F4CEE" w:rsidP="00914262">
      <w:pPr>
        <w:spacing w:after="160" w:line="360" w:lineRule="auto"/>
        <w:ind w:firstLine="425"/>
        <w:jc w:val="both"/>
        <w:rPr>
          <w:b/>
          <w:bCs/>
        </w:rPr>
      </w:pPr>
      <w:r w:rsidRPr="00A03E16">
        <w:rPr>
          <w:rFonts w:cs="Arial"/>
          <w:sz w:val="22"/>
          <w:szCs w:val="22"/>
        </w:rPr>
        <w:t xml:space="preserve">Artificial intelligence has moved rapidly from a specialized technological field into everyday educational practice. In language education, this change is visible in systems that generate explanations and exercises, simulate dialogue, provide immediate feedback, adapt materials to learner performance, and support access to digital resources. Earlier computer-assisted language learning environments often relied on predetermined sequences and limited forms of interaction. Contemporary AI systems can generate context-sensitive responses </w:t>
      </w:r>
      <w:r w:rsidRPr="00A03E16">
        <w:rPr>
          <w:rFonts w:cs="Arial"/>
          <w:sz w:val="22"/>
          <w:szCs w:val="22"/>
        </w:rPr>
        <w:lastRenderedPageBreak/>
        <w:t xml:space="preserve">and can participate in open-ended exchanges, creating a learning environment that is more flexible but also more difficult to control pedagogically (Chapelle, 2021; </w:t>
      </w:r>
      <w:proofErr w:type="spellStart"/>
      <w:r w:rsidRPr="00A03E16">
        <w:rPr>
          <w:rFonts w:cs="Arial"/>
          <w:sz w:val="22"/>
          <w:szCs w:val="22"/>
        </w:rPr>
        <w:t>Kasneci</w:t>
      </w:r>
      <w:proofErr w:type="spellEnd"/>
      <w:r w:rsidRPr="00A03E16">
        <w:rPr>
          <w:rFonts w:cs="Arial"/>
          <w:sz w:val="22"/>
          <w:szCs w:val="22"/>
        </w:rPr>
        <w:t xml:space="preserve"> et al., 2023; Kohnke et al., 2023).</w:t>
      </w:r>
    </w:p>
    <w:p w14:paraId="0C42A273" w14:textId="4B5C0780" w:rsidR="00841E8C" w:rsidRDefault="00000000" w:rsidP="006F4CEE">
      <w:pPr>
        <w:pStyle w:val="Heading1"/>
      </w:pPr>
      <w:r>
        <w:t>2. Literature Review</w:t>
      </w:r>
    </w:p>
    <w:p w14:paraId="6CC03448" w14:textId="77777777" w:rsidR="006F4CEE" w:rsidRPr="006F4CEE" w:rsidRDefault="006F4CEE" w:rsidP="006F4CEE">
      <w:pPr>
        <w:keepNext/>
        <w:keepLines/>
        <w:spacing w:before="280" w:after="120" w:line="276" w:lineRule="auto"/>
        <w:jc w:val="both"/>
        <w:outlineLvl w:val="0"/>
        <w:rPr>
          <w:rFonts w:ascii="Calibri" w:eastAsia="MS Gothic" w:hAnsi="Calibri"/>
          <w:b/>
          <w:bCs/>
          <w:color w:val="5B1723"/>
          <w:szCs w:val="28"/>
        </w:rPr>
      </w:pPr>
      <w:r w:rsidRPr="006F4CEE">
        <w:rPr>
          <w:b/>
          <w:bCs/>
          <w:color w:val="5B1723"/>
          <w:szCs w:val="28"/>
        </w:rPr>
        <w:t>2. Conceptual Foundations</w:t>
      </w:r>
    </w:p>
    <w:p w14:paraId="24A2926A" w14:textId="77777777" w:rsidR="006F4CEE" w:rsidRPr="006F4CEE" w:rsidRDefault="006F4CEE" w:rsidP="006F4CEE">
      <w:pPr>
        <w:keepNext/>
        <w:keepLines/>
        <w:spacing w:before="200" w:after="80" w:line="276" w:lineRule="auto"/>
        <w:jc w:val="both"/>
        <w:outlineLvl w:val="1"/>
        <w:rPr>
          <w:rFonts w:ascii="Calibri" w:eastAsia="MS Gothic" w:hAnsi="Calibri"/>
          <w:b/>
          <w:bCs/>
          <w:color w:val="8B2635"/>
          <w:sz w:val="22"/>
          <w:szCs w:val="26"/>
        </w:rPr>
      </w:pPr>
      <w:r w:rsidRPr="006F4CEE">
        <w:rPr>
          <w:b/>
          <w:bCs/>
          <w:color w:val="8B2635"/>
          <w:sz w:val="22"/>
          <w:szCs w:val="26"/>
        </w:rPr>
        <w:t>2.1 AI-Supported Foreign Language Learning</w:t>
      </w:r>
    </w:p>
    <w:p w14:paraId="0BD7A17C"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Artificial intelligence in education refers broadly to computational systems that perform functions associated with pattern recognition, prediction, language processing, interaction, and adaptive decision-making. In language education, these functions can support feedback, learner profiling, content generation, conversation practice, and resource recommendation (Zawacki-Richter et al., 2019; Chapelle, 2021). Contemporary GenAI systems extend these possibilities because they can produce language dynamically rather than relying only on fixed answer banks.</w:t>
      </w:r>
    </w:p>
    <w:p w14:paraId="750A7F93" w14:textId="77777777" w:rsidR="006F4CEE" w:rsidRPr="006F4CEE" w:rsidRDefault="006F4CEE" w:rsidP="006F4CEE">
      <w:pPr>
        <w:keepNext/>
        <w:keepLines/>
        <w:spacing w:before="200" w:after="80" w:line="276" w:lineRule="auto"/>
        <w:jc w:val="both"/>
        <w:outlineLvl w:val="1"/>
        <w:rPr>
          <w:rFonts w:ascii="Calibri" w:eastAsia="MS Gothic" w:hAnsi="Calibri"/>
          <w:b/>
          <w:bCs/>
          <w:color w:val="8B2635"/>
          <w:sz w:val="22"/>
          <w:szCs w:val="26"/>
        </w:rPr>
      </w:pPr>
      <w:r w:rsidRPr="006F4CEE">
        <w:rPr>
          <w:b/>
          <w:bCs/>
          <w:color w:val="8B2635"/>
          <w:sz w:val="22"/>
          <w:szCs w:val="26"/>
        </w:rPr>
        <w:t>2.2 Multimodality and Meaning Construction</w:t>
      </w:r>
    </w:p>
    <w:p w14:paraId="2ECD22D0"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Multimodal learning assumes that communication and meaning-making involve several semiotic resources. Written language, speech, visual representation, gesture, spatial organization, and digital interaction can work together to support understanding (Jewitt, 2021; Kress, 2010). Multimedia learning research similarly suggests that meaningful learning involves selecting, organizing, and integrating information across verbal and visual channels (Mayer, 2009, 2021).</w:t>
      </w:r>
    </w:p>
    <w:p w14:paraId="5CCD4611" w14:textId="77777777" w:rsidR="006F4CEE" w:rsidRPr="006F4CEE" w:rsidRDefault="006F4CEE" w:rsidP="006F4CEE">
      <w:pPr>
        <w:keepNext/>
        <w:keepLines/>
        <w:spacing w:before="200" w:after="80" w:line="276" w:lineRule="auto"/>
        <w:jc w:val="both"/>
        <w:outlineLvl w:val="1"/>
        <w:rPr>
          <w:rFonts w:ascii="Calibri" w:eastAsia="MS Gothic" w:hAnsi="Calibri"/>
          <w:b/>
          <w:bCs/>
          <w:color w:val="8B2635"/>
          <w:sz w:val="22"/>
          <w:szCs w:val="26"/>
        </w:rPr>
      </w:pPr>
      <w:r w:rsidRPr="006F4CEE">
        <w:rPr>
          <w:b/>
          <w:bCs/>
          <w:color w:val="8B2635"/>
          <w:sz w:val="22"/>
          <w:szCs w:val="26"/>
        </w:rPr>
        <w:t>2.3 Learner Autonomy and Agency</w:t>
      </w:r>
    </w:p>
    <w:p w14:paraId="4A05E39A"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Learner autonomy concerns the capacity to take responsibility for learning decisions, including the selection of goals, strategies, resources, and forms of evaluation (Benson, 2013). Agency emphasizes purposeful action and the capacity to influence one's learning activity through intentional choices and self-regulation (Ahearn, 2001; Bandura, 2006). From a sociocultural perspective, such capacities are shaped by interaction, cultural tools, and the social organization of learning (Vygotsky, 1978).</w:t>
      </w:r>
    </w:p>
    <w:p w14:paraId="5D3F075B" w14:textId="77777777" w:rsidR="006F4CEE" w:rsidRPr="006F4CEE" w:rsidRDefault="006F4CEE" w:rsidP="006F4CEE">
      <w:pPr>
        <w:keepNext/>
        <w:keepLines/>
        <w:spacing w:before="280" w:after="120" w:line="276" w:lineRule="auto"/>
        <w:jc w:val="both"/>
        <w:outlineLvl w:val="0"/>
        <w:rPr>
          <w:rFonts w:ascii="Calibri" w:eastAsia="MS Gothic" w:hAnsi="Calibri"/>
          <w:b/>
          <w:bCs/>
          <w:color w:val="5B1723"/>
          <w:szCs w:val="28"/>
        </w:rPr>
      </w:pPr>
      <w:r w:rsidRPr="006F4CEE">
        <w:rPr>
          <w:b/>
          <w:bCs/>
          <w:color w:val="5B1723"/>
          <w:szCs w:val="28"/>
        </w:rPr>
        <w:t>3. Methodological Approach</w:t>
      </w:r>
    </w:p>
    <w:p w14:paraId="560A0486"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The article uses a conceptual research design based on integrative synthesis and framework development rather than primary empirical data collection. Conceptual framework development can provide a structured account of relationships among constructs when the literature is fragmented or when a field is undergoing rapid change (Jaakkola, 2020).</w:t>
      </w:r>
    </w:p>
    <w:p w14:paraId="10B2F9F9" w14:textId="77777777" w:rsidR="006F4CEE" w:rsidRPr="006F4CEE" w:rsidRDefault="006F4CEE" w:rsidP="006F4CEE">
      <w:pPr>
        <w:keepNext/>
        <w:keepLines/>
        <w:spacing w:before="280" w:after="120" w:line="276" w:lineRule="auto"/>
        <w:jc w:val="both"/>
        <w:outlineLvl w:val="0"/>
        <w:rPr>
          <w:rFonts w:ascii="Calibri" w:eastAsia="MS Gothic" w:hAnsi="Calibri"/>
          <w:b/>
          <w:bCs/>
          <w:color w:val="5B1723"/>
          <w:szCs w:val="28"/>
        </w:rPr>
      </w:pPr>
      <w:r w:rsidRPr="006F4CEE">
        <w:rPr>
          <w:b/>
          <w:bCs/>
          <w:color w:val="5B1723"/>
          <w:szCs w:val="28"/>
        </w:rPr>
        <w:lastRenderedPageBreak/>
        <w:t>4. The Proposed Framework for AI-Supported Multimodal Russian Language Learning</w:t>
      </w:r>
    </w:p>
    <w:p w14:paraId="3D2C6FDE" w14:textId="77777777" w:rsidR="006F4CEE" w:rsidRPr="006F4CEE" w:rsidRDefault="006F4CEE" w:rsidP="006F4CEE">
      <w:pPr>
        <w:keepNext/>
        <w:keepLines/>
        <w:spacing w:before="200" w:after="80" w:line="276" w:lineRule="auto"/>
        <w:jc w:val="both"/>
        <w:outlineLvl w:val="1"/>
        <w:rPr>
          <w:rFonts w:ascii="Calibri" w:eastAsia="MS Gothic" w:hAnsi="Calibri"/>
          <w:b/>
          <w:bCs/>
          <w:color w:val="8B2635"/>
          <w:sz w:val="22"/>
          <w:szCs w:val="26"/>
        </w:rPr>
      </w:pPr>
      <w:r w:rsidRPr="006F4CEE">
        <w:rPr>
          <w:b/>
          <w:bCs/>
          <w:color w:val="8B2635"/>
          <w:sz w:val="22"/>
          <w:szCs w:val="26"/>
        </w:rPr>
        <w:t>4.1 Structure of the Framework</w:t>
      </w:r>
    </w:p>
    <w:p w14:paraId="6CCC6A24" w14:textId="77777777" w:rsidR="006F4CEE" w:rsidRPr="006F4CEE" w:rsidRDefault="006F4CEE" w:rsidP="006F4CEE">
      <w:pPr>
        <w:spacing w:after="160" w:line="360" w:lineRule="auto"/>
        <w:jc w:val="both"/>
        <w:rPr>
          <w:rFonts w:cs="Arial"/>
          <w:sz w:val="22"/>
          <w:szCs w:val="22"/>
        </w:rPr>
      </w:pPr>
      <w:r w:rsidRPr="006F4CEE">
        <w:rPr>
          <w:rFonts w:cs="Arial"/>
          <w:sz w:val="22"/>
          <w:szCs w:val="22"/>
        </w:rPr>
        <w:t>The framework consists of five dimensions:</w:t>
      </w:r>
    </w:p>
    <w:p w14:paraId="7910E6C1" w14:textId="22B377C5" w:rsidR="006F4CEE" w:rsidRPr="006F4CEE" w:rsidRDefault="006F4CEE" w:rsidP="006F4CEE">
      <w:pPr>
        <w:pStyle w:val="ListParagraph"/>
        <w:keepNext/>
        <w:keepLines/>
        <w:numPr>
          <w:ilvl w:val="0"/>
          <w:numId w:val="2"/>
        </w:numPr>
        <w:spacing w:before="280" w:after="120" w:line="276" w:lineRule="auto"/>
        <w:jc w:val="both"/>
        <w:outlineLvl w:val="0"/>
        <w:rPr>
          <w:rFonts w:ascii="Calibri" w:eastAsia="MS Gothic" w:hAnsi="Calibri"/>
          <w:sz w:val="22"/>
        </w:rPr>
      </w:pPr>
      <w:r w:rsidRPr="006F4CEE">
        <w:rPr>
          <w:sz w:val="22"/>
        </w:rPr>
        <w:t>AI-supported personalization</w:t>
      </w:r>
    </w:p>
    <w:p w14:paraId="187167BC" w14:textId="733D06C6" w:rsidR="006F4CEE" w:rsidRPr="006F4CEE" w:rsidRDefault="006F4CEE" w:rsidP="006F4CEE">
      <w:pPr>
        <w:pStyle w:val="ListParagraph"/>
        <w:keepNext/>
        <w:keepLines/>
        <w:numPr>
          <w:ilvl w:val="0"/>
          <w:numId w:val="2"/>
        </w:numPr>
        <w:spacing w:before="280" w:after="120" w:line="276" w:lineRule="auto"/>
        <w:jc w:val="both"/>
        <w:outlineLvl w:val="0"/>
        <w:rPr>
          <w:rFonts w:ascii="Calibri" w:eastAsia="MS Gothic" w:hAnsi="Calibri"/>
          <w:sz w:val="22"/>
        </w:rPr>
      </w:pPr>
      <w:r w:rsidRPr="006F4CEE">
        <w:rPr>
          <w:sz w:val="22"/>
        </w:rPr>
        <w:t>Functional multimodal task design</w:t>
      </w:r>
    </w:p>
    <w:p w14:paraId="51A5673F" w14:textId="0A54D302" w:rsidR="006F4CEE" w:rsidRPr="006F4CEE" w:rsidRDefault="006F4CEE" w:rsidP="006F4CEE">
      <w:pPr>
        <w:pStyle w:val="ListParagraph"/>
        <w:keepNext/>
        <w:keepLines/>
        <w:numPr>
          <w:ilvl w:val="0"/>
          <w:numId w:val="2"/>
        </w:numPr>
        <w:spacing w:before="280" w:after="120" w:line="276" w:lineRule="auto"/>
        <w:jc w:val="both"/>
        <w:outlineLvl w:val="0"/>
        <w:rPr>
          <w:rFonts w:ascii="Calibri" w:eastAsia="MS Gothic" w:hAnsi="Calibri"/>
          <w:sz w:val="22"/>
        </w:rPr>
      </w:pPr>
      <w:r w:rsidRPr="006F4CEE">
        <w:rPr>
          <w:sz w:val="22"/>
        </w:rPr>
        <w:t>Learner autonomy and reflective agency</w:t>
      </w:r>
    </w:p>
    <w:p w14:paraId="5176AE75" w14:textId="79036765" w:rsidR="006F4CEE" w:rsidRPr="006F4CEE" w:rsidRDefault="006F4CEE" w:rsidP="006F4CEE">
      <w:pPr>
        <w:pStyle w:val="ListParagraph"/>
        <w:keepNext/>
        <w:keepLines/>
        <w:numPr>
          <w:ilvl w:val="0"/>
          <w:numId w:val="2"/>
        </w:numPr>
        <w:spacing w:before="280" w:after="120" w:line="276" w:lineRule="auto"/>
        <w:jc w:val="both"/>
        <w:outlineLvl w:val="0"/>
        <w:rPr>
          <w:rFonts w:ascii="Calibri" w:eastAsia="MS Gothic" w:hAnsi="Calibri"/>
          <w:sz w:val="22"/>
        </w:rPr>
      </w:pPr>
      <w:r w:rsidRPr="006F4CEE">
        <w:rPr>
          <w:sz w:val="22"/>
        </w:rPr>
        <w:t>Critical AI literacy</w:t>
      </w:r>
    </w:p>
    <w:p w14:paraId="510F9EC9" w14:textId="7EFC8D40" w:rsidR="006F4CEE" w:rsidRDefault="006F4CEE" w:rsidP="008D6294">
      <w:pPr>
        <w:pStyle w:val="ListParagraph"/>
        <w:keepNext/>
        <w:keepLines/>
        <w:numPr>
          <w:ilvl w:val="0"/>
          <w:numId w:val="2"/>
        </w:numPr>
        <w:spacing w:before="280" w:after="120" w:line="276" w:lineRule="auto"/>
        <w:jc w:val="both"/>
        <w:outlineLvl w:val="0"/>
        <w:rPr>
          <w:sz w:val="22"/>
        </w:rPr>
      </w:pPr>
      <w:r w:rsidRPr="008D6294">
        <w:rPr>
          <w:sz w:val="22"/>
        </w:rPr>
        <w:t>Intercultural communicative competence</w:t>
      </w:r>
    </w:p>
    <w:p w14:paraId="25B99F91" w14:textId="77777777" w:rsidR="008D6294" w:rsidRPr="008D6294" w:rsidRDefault="008D6294" w:rsidP="008D6294">
      <w:pPr>
        <w:keepNext/>
        <w:keepLines/>
        <w:spacing w:before="280" w:after="120" w:line="276" w:lineRule="auto"/>
        <w:ind w:left="360"/>
        <w:jc w:val="both"/>
        <w:outlineLvl w:val="0"/>
        <w:rPr>
          <w:sz w:val="22"/>
        </w:rPr>
      </w:pPr>
    </w:p>
    <w:p w14:paraId="5F4B6E84"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These dimensions are arranged as a developmental system rather than a linear sequence. AI-supported personalization provides possibilities for adaptation; multimodal design organizes those possibilities into pedagogically meaningful tasks; learner autonomy determines how opportunities are selected and used; critical AI literacy regulates evaluation and verification; and intercultural competence represents a major communicative outcome of sustained engagement with language, context, and cultural perspectives.</w:t>
      </w:r>
    </w:p>
    <w:p w14:paraId="75DF399D" w14:textId="77777777" w:rsidR="006F4CEE" w:rsidRPr="006F4CEE" w:rsidRDefault="006F4CEE" w:rsidP="006F4CEE">
      <w:pPr>
        <w:keepNext/>
        <w:keepLines/>
        <w:spacing w:before="280" w:after="120" w:line="276" w:lineRule="auto"/>
        <w:jc w:val="both"/>
        <w:outlineLvl w:val="0"/>
        <w:rPr>
          <w:rFonts w:ascii="Calibri" w:eastAsia="MS Gothic" w:hAnsi="Calibri"/>
          <w:b/>
          <w:bCs/>
          <w:color w:val="5B1723"/>
          <w:szCs w:val="28"/>
        </w:rPr>
      </w:pPr>
      <w:r w:rsidRPr="006F4CEE">
        <w:rPr>
          <w:b/>
          <w:bCs/>
          <w:color w:val="5B1723"/>
          <w:szCs w:val="28"/>
        </w:rPr>
        <w:t>5. Pedagogical Applications in Russian as a Foreign Language</w:t>
      </w:r>
    </w:p>
    <w:p w14:paraId="0FB243F5" w14:textId="77777777" w:rsidR="006F4CEE" w:rsidRPr="006F4CEE" w:rsidRDefault="006F4CEE" w:rsidP="006F4CEE">
      <w:pPr>
        <w:spacing w:after="160" w:line="360" w:lineRule="auto"/>
        <w:jc w:val="both"/>
        <w:rPr>
          <w:rFonts w:cs="Arial"/>
          <w:sz w:val="22"/>
          <w:szCs w:val="22"/>
        </w:rPr>
      </w:pPr>
      <w:r w:rsidRPr="006F4CEE">
        <w:rPr>
          <w:rFonts w:cs="Arial"/>
          <w:sz w:val="22"/>
          <w:szCs w:val="22"/>
        </w:rPr>
        <w:t>The framework can be translated into several practical classroom configurations.</w:t>
      </w:r>
    </w:p>
    <w:p w14:paraId="44E5D4A9" w14:textId="77777777" w:rsidR="006F4CEE" w:rsidRPr="006F4CEE" w:rsidRDefault="006F4CEE" w:rsidP="006F4CEE">
      <w:pPr>
        <w:keepNext/>
        <w:keepLines/>
        <w:spacing w:before="200" w:after="80" w:line="276" w:lineRule="auto"/>
        <w:jc w:val="both"/>
        <w:outlineLvl w:val="1"/>
        <w:rPr>
          <w:rFonts w:ascii="Calibri" w:eastAsia="MS Gothic" w:hAnsi="Calibri"/>
          <w:b/>
          <w:bCs/>
          <w:color w:val="8B2635"/>
          <w:sz w:val="22"/>
          <w:szCs w:val="26"/>
        </w:rPr>
      </w:pPr>
      <w:r w:rsidRPr="006F4CEE">
        <w:rPr>
          <w:b/>
          <w:bCs/>
          <w:color w:val="8B2635"/>
          <w:sz w:val="22"/>
          <w:szCs w:val="26"/>
        </w:rPr>
        <w:t>5.1 Vocabulary and Lexical Context</w:t>
      </w:r>
    </w:p>
    <w:p w14:paraId="401C3C40"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AI can generate vocabulary sets at different difficulty levels and embed target words in dialogues, narratives, and visual scenarios. Rather than asking learners to memorize isolated items, the teacher can require them to compare meanings across contexts and explain why one lexical choice is more appropriate than another.</w:t>
      </w:r>
    </w:p>
    <w:p w14:paraId="7559654A" w14:textId="77777777" w:rsidR="006F4CEE" w:rsidRPr="006F4CEE" w:rsidRDefault="006F4CEE" w:rsidP="006F4CEE">
      <w:pPr>
        <w:keepNext/>
        <w:keepLines/>
        <w:spacing w:before="280" w:after="120" w:line="276" w:lineRule="auto"/>
        <w:jc w:val="both"/>
        <w:outlineLvl w:val="0"/>
        <w:rPr>
          <w:rFonts w:ascii="Calibri" w:eastAsia="MS Gothic" w:hAnsi="Calibri"/>
          <w:b/>
          <w:bCs/>
          <w:color w:val="5B1723"/>
          <w:szCs w:val="28"/>
        </w:rPr>
      </w:pPr>
      <w:r w:rsidRPr="006F4CEE">
        <w:rPr>
          <w:b/>
          <w:bCs/>
          <w:color w:val="5B1723"/>
          <w:szCs w:val="28"/>
        </w:rPr>
        <w:t>6. Assessment Implications</w:t>
      </w:r>
    </w:p>
    <w:p w14:paraId="018FBA9A"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Assessment in AI-supported language education should measure more than final linguistic accuracy. The framework suggests at least four domains of evidence: linguistic performance, strategic use of AI, critical evaluation, and intercultural interpretation.</w:t>
      </w:r>
    </w:p>
    <w:p w14:paraId="410D64EC" w14:textId="77777777" w:rsidR="006F4CEE" w:rsidRPr="006F4CEE" w:rsidRDefault="006F4CEE" w:rsidP="006F4CEE">
      <w:pPr>
        <w:keepNext/>
        <w:keepLines/>
        <w:spacing w:before="280" w:after="120" w:line="276" w:lineRule="auto"/>
        <w:jc w:val="both"/>
        <w:outlineLvl w:val="0"/>
        <w:rPr>
          <w:rFonts w:ascii="Calibri" w:eastAsia="MS Gothic" w:hAnsi="Calibri"/>
          <w:b/>
          <w:bCs/>
          <w:color w:val="5B1723"/>
          <w:szCs w:val="28"/>
        </w:rPr>
      </w:pPr>
      <w:r w:rsidRPr="006F4CEE">
        <w:rPr>
          <w:b/>
          <w:bCs/>
          <w:color w:val="5B1723"/>
          <w:szCs w:val="28"/>
        </w:rPr>
        <w:lastRenderedPageBreak/>
        <w:t>7. Ethical and Practical Considerations</w:t>
      </w:r>
    </w:p>
    <w:p w14:paraId="39E589A0"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AI-supported language education introduces several challenges. First, privacy requires careful handling of learner data and personal information. Second, access may be unequal because devices, connectivity, and paid tools differ across learners. Third, generated content may contain bias or inaccuracies. Fourth, excessive dependence may weaken opportunities for independent reasoning.</w:t>
      </w:r>
    </w:p>
    <w:p w14:paraId="651CA833" w14:textId="77777777" w:rsidR="006F4CEE" w:rsidRPr="006F4CEE" w:rsidRDefault="006F4CEE" w:rsidP="006F4CEE">
      <w:pPr>
        <w:keepNext/>
        <w:keepLines/>
        <w:spacing w:before="280" w:after="120" w:line="276" w:lineRule="auto"/>
        <w:jc w:val="both"/>
        <w:outlineLvl w:val="0"/>
        <w:rPr>
          <w:rFonts w:ascii="Calibri" w:eastAsia="MS Gothic" w:hAnsi="Calibri"/>
          <w:b/>
          <w:bCs/>
          <w:color w:val="5B1723"/>
          <w:szCs w:val="28"/>
        </w:rPr>
      </w:pPr>
      <w:r w:rsidRPr="006F4CEE">
        <w:rPr>
          <w:b/>
          <w:bCs/>
          <w:color w:val="5B1723"/>
          <w:szCs w:val="28"/>
        </w:rPr>
        <w:t>8. Theoretical and Research Implications</w:t>
      </w:r>
    </w:p>
    <w:p w14:paraId="176D871E"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The proposed framework contributes to theory in three ways. First, it places AI within a pedagogical ecology instead of treating technological capability as an independent educational variable. Second, it introduces critical AI literacy as a regulatory construct linking technology use with learner autonomy. Third, it positions intercultural communicative competence as a substantive outcome of language learning rather than an optional supplement.</w:t>
      </w:r>
    </w:p>
    <w:p w14:paraId="24BF6D77" w14:textId="77777777" w:rsidR="006F4CEE" w:rsidRPr="006F4CEE" w:rsidRDefault="006F4CEE" w:rsidP="006F4CEE">
      <w:pPr>
        <w:keepNext/>
        <w:keepLines/>
        <w:spacing w:before="280" w:after="120" w:line="276" w:lineRule="auto"/>
        <w:jc w:val="both"/>
        <w:outlineLvl w:val="0"/>
        <w:rPr>
          <w:rFonts w:ascii="Calibri" w:eastAsia="MS Gothic" w:hAnsi="Calibri"/>
          <w:b/>
          <w:bCs/>
          <w:color w:val="5B1723"/>
          <w:szCs w:val="28"/>
        </w:rPr>
      </w:pPr>
      <w:r w:rsidRPr="006F4CEE">
        <w:rPr>
          <w:b/>
          <w:bCs/>
          <w:color w:val="5B1723"/>
          <w:szCs w:val="28"/>
        </w:rPr>
        <w:t>9. Conclusion</w:t>
      </w:r>
    </w:p>
    <w:p w14:paraId="5ED73D47" w14:textId="77777777" w:rsidR="006F4CEE" w:rsidRPr="006F4CEE" w:rsidRDefault="006F4CEE" w:rsidP="006F4CEE">
      <w:pPr>
        <w:spacing w:after="160" w:line="360" w:lineRule="auto"/>
        <w:ind w:firstLine="425"/>
        <w:jc w:val="both"/>
        <w:rPr>
          <w:rFonts w:cs="Arial"/>
          <w:sz w:val="22"/>
          <w:szCs w:val="22"/>
        </w:rPr>
      </w:pPr>
      <w:r w:rsidRPr="006F4CEE">
        <w:rPr>
          <w:rFonts w:cs="Arial"/>
          <w:sz w:val="22"/>
          <w:szCs w:val="22"/>
        </w:rPr>
        <w:t>Artificial intelligence is changing the resources available for foreign language education, but its educational significance depends on how those resources are integrated into human learning processes. This article proposed a conceptual framework for AI-supported multimodal Russian language learning centered on five dimensions: AI-supported personalization, functional multimodal design, learner autonomy, critical AI literacy, and intercultural communicative competence.</w:t>
      </w:r>
    </w:p>
    <w:p w14:paraId="76BB50BE" w14:textId="77777777" w:rsidR="00841E8C" w:rsidRDefault="00000000">
      <w:pPr>
        <w:pStyle w:val="Heading1"/>
      </w:pPr>
      <w:r>
        <w:t>References</w:t>
      </w:r>
    </w:p>
    <w:p w14:paraId="7F14A4E5" w14:textId="77777777" w:rsidR="00A03E16" w:rsidRPr="00A03E16" w:rsidRDefault="00A03E16" w:rsidP="00AE0076">
      <w:pPr>
        <w:spacing w:after="80" w:line="360" w:lineRule="auto"/>
        <w:ind w:left="283" w:hanging="283"/>
        <w:jc w:val="both"/>
        <w:rPr>
          <w:rFonts w:cs="Arial"/>
          <w:sz w:val="22"/>
          <w:szCs w:val="22"/>
        </w:rPr>
      </w:pPr>
      <w:r w:rsidRPr="00A03E16">
        <w:rPr>
          <w:rFonts w:cs="Arial"/>
          <w:sz w:val="20"/>
          <w:szCs w:val="22"/>
        </w:rPr>
        <w:t xml:space="preserve">Ahearn, L. M. (2001). </w:t>
      </w:r>
      <w:r w:rsidRPr="003773BA">
        <w:rPr>
          <w:rFonts w:cs="Arial"/>
          <w:i/>
          <w:iCs/>
          <w:sz w:val="20"/>
          <w:szCs w:val="22"/>
        </w:rPr>
        <w:t>Language and agency.</w:t>
      </w:r>
      <w:r w:rsidRPr="00A03E16">
        <w:rPr>
          <w:rFonts w:cs="Arial"/>
          <w:sz w:val="20"/>
          <w:szCs w:val="22"/>
        </w:rPr>
        <w:t xml:space="preserve"> Annual Review of Anthropology, 30, 109–137. https://doi.org/10.1146/annurev.anthro.30.1.109</w:t>
      </w:r>
    </w:p>
    <w:p w14:paraId="5606E159" w14:textId="77777777" w:rsidR="00A03E16" w:rsidRPr="00A03E16" w:rsidRDefault="00A03E16" w:rsidP="00AE0076">
      <w:pPr>
        <w:spacing w:after="80" w:line="360" w:lineRule="auto"/>
        <w:ind w:left="283" w:hanging="283"/>
        <w:jc w:val="both"/>
        <w:rPr>
          <w:rFonts w:cs="Arial"/>
          <w:sz w:val="22"/>
          <w:szCs w:val="22"/>
        </w:rPr>
      </w:pPr>
      <w:r w:rsidRPr="00A03E16">
        <w:rPr>
          <w:rFonts w:cs="Arial"/>
          <w:sz w:val="20"/>
          <w:szCs w:val="22"/>
        </w:rPr>
        <w:t xml:space="preserve">Bandura, A. (2001). </w:t>
      </w:r>
      <w:r w:rsidRPr="003773BA">
        <w:rPr>
          <w:rFonts w:cs="Arial"/>
          <w:i/>
          <w:iCs/>
          <w:sz w:val="20"/>
          <w:szCs w:val="22"/>
        </w:rPr>
        <w:t>Social cognitive theory: An agentic perspective.</w:t>
      </w:r>
      <w:r w:rsidRPr="00A03E16">
        <w:rPr>
          <w:rFonts w:cs="Arial"/>
          <w:sz w:val="20"/>
          <w:szCs w:val="22"/>
        </w:rPr>
        <w:t xml:space="preserve"> Annual Review of Psychology, 52, 1–26. https://doi.org/10.1146/annurev.psych.52.1.1</w:t>
      </w:r>
    </w:p>
    <w:p w14:paraId="60FFEC6C" w14:textId="77777777" w:rsidR="00A03E16" w:rsidRPr="00A03E16" w:rsidRDefault="00A03E16" w:rsidP="00AE0076">
      <w:pPr>
        <w:spacing w:after="80" w:line="360" w:lineRule="auto"/>
        <w:ind w:left="283" w:hanging="283"/>
        <w:jc w:val="both"/>
        <w:rPr>
          <w:rFonts w:cs="Arial"/>
          <w:sz w:val="22"/>
          <w:szCs w:val="22"/>
        </w:rPr>
      </w:pPr>
      <w:r w:rsidRPr="00A03E16">
        <w:rPr>
          <w:rFonts w:cs="Arial"/>
          <w:sz w:val="20"/>
          <w:szCs w:val="22"/>
        </w:rPr>
        <w:t xml:space="preserve">Bandura, A. (2006). </w:t>
      </w:r>
      <w:r w:rsidRPr="003773BA">
        <w:rPr>
          <w:rFonts w:cs="Arial"/>
          <w:i/>
          <w:iCs/>
          <w:sz w:val="20"/>
          <w:szCs w:val="22"/>
        </w:rPr>
        <w:t>Toward a psychology of human agency.</w:t>
      </w:r>
      <w:r w:rsidRPr="00A03E16">
        <w:rPr>
          <w:rFonts w:cs="Arial"/>
          <w:sz w:val="20"/>
          <w:szCs w:val="22"/>
        </w:rPr>
        <w:t xml:space="preserve"> Perspectives on Psychological Science, 1(2), 164–180. https://doi.org/10.1111/j.1745-6916.2006.00011.x</w:t>
      </w:r>
    </w:p>
    <w:p w14:paraId="6DC1C3AE" w14:textId="77777777" w:rsidR="00A03E16" w:rsidRPr="00A03E16" w:rsidRDefault="00A03E16" w:rsidP="00AE0076">
      <w:pPr>
        <w:spacing w:after="80" w:line="360" w:lineRule="auto"/>
        <w:ind w:left="283" w:hanging="283"/>
        <w:jc w:val="both"/>
        <w:rPr>
          <w:rFonts w:cs="Arial"/>
          <w:sz w:val="22"/>
          <w:szCs w:val="22"/>
        </w:rPr>
      </w:pPr>
      <w:r w:rsidRPr="00A03E16">
        <w:rPr>
          <w:rFonts w:cs="Arial"/>
          <w:sz w:val="20"/>
          <w:szCs w:val="22"/>
        </w:rPr>
        <w:t xml:space="preserve">Kohnke, L., Moorhouse, B. L., &amp; Zou, D. (2023). </w:t>
      </w:r>
      <w:r w:rsidRPr="003773BA">
        <w:rPr>
          <w:rFonts w:cs="Arial"/>
          <w:i/>
          <w:iCs/>
          <w:sz w:val="20"/>
          <w:szCs w:val="22"/>
        </w:rPr>
        <w:t>ChatGPT for language teaching and learning.</w:t>
      </w:r>
      <w:r w:rsidRPr="00A03E16">
        <w:rPr>
          <w:rFonts w:cs="Arial"/>
          <w:sz w:val="20"/>
          <w:szCs w:val="22"/>
        </w:rPr>
        <w:t xml:space="preserve"> RELC Journal, 54(2), 537–550. https://doi.org/10.1177/00336882231162868</w:t>
      </w:r>
    </w:p>
    <w:p w14:paraId="67BDFE17" w14:textId="3BF62470" w:rsidR="00A03E16" w:rsidRDefault="00A03E16" w:rsidP="00AE0076">
      <w:pPr>
        <w:spacing w:after="80" w:line="360" w:lineRule="auto"/>
        <w:ind w:left="283" w:hanging="283"/>
        <w:jc w:val="both"/>
        <w:rPr>
          <w:rFonts w:cs="Arial"/>
          <w:sz w:val="20"/>
          <w:szCs w:val="22"/>
          <w:rtl/>
        </w:rPr>
      </w:pPr>
      <w:r w:rsidRPr="00A03E16">
        <w:rPr>
          <w:rFonts w:cs="Arial"/>
          <w:sz w:val="20"/>
          <w:szCs w:val="22"/>
        </w:rPr>
        <w:t xml:space="preserve">Zawacki-Richter, O., Marín, V. I., Bond, M., &amp; Gouverneur, F. (2019). </w:t>
      </w:r>
      <w:r w:rsidRPr="003773BA">
        <w:rPr>
          <w:rFonts w:cs="Arial"/>
          <w:i/>
          <w:iCs/>
          <w:sz w:val="20"/>
          <w:szCs w:val="22"/>
        </w:rPr>
        <w:t>Systematic review of research on artificial intelligence applications in higher education.</w:t>
      </w:r>
      <w:r w:rsidRPr="00A03E16">
        <w:rPr>
          <w:rFonts w:cs="Arial"/>
          <w:sz w:val="20"/>
          <w:szCs w:val="22"/>
        </w:rPr>
        <w:t xml:space="preserve"> International Journal of Educational Technology in Higher Education, 16, Article 39. </w:t>
      </w:r>
      <w:hyperlink r:id="rId18" w:history="1">
        <w:r w:rsidR="008D6294" w:rsidRPr="00EF2B18">
          <w:rPr>
            <w:rStyle w:val="Hyperlink"/>
            <w:rFonts w:cs="Arial"/>
            <w:sz w:val="20"/>
            <w:szCs w:val="22"/>
          </w:rPr>
          <w:t>https://doi.org/10.1186/s41239-019-0171-0</w:t>
        </w:r>
      </w:hyperlink>
    </w:p>
    <w:p w14:paraId="54319A09" w14:textId="77777777" w:rsidR="008D6294" w:rsidRDefault="008D6294" w:rsidP="008D6294">
      <w:pPr>
        <w:spacing w:after="80" w:line="480" w:lineRule="auto"/>
        <w:ind w:left="283" w:hanging="283"/>
        <w:jc w:val="both"/>
        <w:rPr>
          <w:rFonts w:cs="Arial"/>
          <w:sz w:val="20"/>
          <w:szCs w:val="22"/>
          <w:rtl/>
        </w:rPr>
      </w:pPr>
    </w:p>
    <w:p w14:paraId="7EC99CE8" w14:textId="77777777" w:rsidR="00A03E16" w:rsidRPr="00A03E16" w:rsidRDefault="00A03E16" w:rsidP="00A03E16">
      <w:pPr>
        <w:keepNext/>
        <w:keepLines/>
        <w:spacing w:before="280" w:after="120" w:line="276" w:lineRule="auto"/>
        <w:jc w:val="both"/>
        <w:outlineLvl w:val="0"/>
        <w:rPr>
          <w:rFonts w:ascii="Calibri" w:eastAsia="MS Gothic" w:hAnsi="Calibri"/>
          <w:b/>
          <w:bCs/>
          <w:color w:val="5B1723"/>
          <w:szCs w:val="28"/>
        </w:rPr>
      </w:pPr>
      <w:r w:rsidRPr="00A03E16">
        <w:rPr>
          <w:b/>
          <w:bCs/>
          <w:color w:val="5B1723"/>
          <w:szCs w:val="28"/>
        </w:rPr>
        <w:lastRenderedPageBreak/>
        <w:t>Declarations</w:t>
      </w:r>
    </w:p>
    <w:p w14:paraId="17956758" w14:textId="77777777" w:rsidR="00A03E16" w:rsidRPr="00A03E16" w:rsidRDefault="00A03E16" w:rsidP="00A03E16">
      <w:pPr>
        <w:spacing w:after="80" w:line="360" w:lineRule="auto"/>
        <w:jc w:val="both"/>
        <w:rPr>
          <w:rFonts w:cs="Arial"/>
          <w:sz w:val="22"/>
          <w:szCs w:val="22"/>
        </w:rPr>
      </w:pPr>
      <w:r w:rsidRPr="00A03E16">
        <w:rPr>
          <w:rFonts w:cs="Arial"/>
          <w:b/>
          <w:sz w:val="20"/>
          <w:szCs w:val="22"/>
        </w:rPr>
        <w:t xml:space="preserve">Funding: </w:t>
      </w:r>
      <w:r w:rsidRPr="00A03E16">
        <w:rPr>
          <w:rFonts w:cs="Arial"/>
          <w:sz w:val="20"/>
          <w:szCs w:val="22"/>
        </w:rPr>
        <w:t>The author received no external funding for this work.</w:t>
      </w:r>
    </w:p>
    <w:p w14:paraId="59AA6692" w14:textId="77777777" w:rsidR="00A03E16" w:rsidRPr="00A03E16" w:rsidRDefault="00A03E16" w:rsidP="00A03E16">
      <w:pPr>
        <w:spacing w:after="80" w:line="360" w:lineRule="auto"/>
        <w:jc w:val="both"/>
        <w:rPr>
          <w:rFonts w:cs="Arial"/>
          <w:sz w:val="22"/>
          <w:szCs w:val="22"/>
        </w:rPr>
      </w:pPr>
      <w:r w:rsidRPr="00A03E16">
        <w:rPr>
          <w:rFonts w:cs="Arial"/>
          <w:b/>
          <w:sz w:val="20"/>
          <w:szCs w:val="22"/>
        </w:rPr>
        <w:t xml:space="preserve">Conflict of interest: </w:t>
      </w:r>
      <w:r w:rsidRPr="00A03E16">
        <w:rPr>
          <w:rFonts w:cs="Arial"/>
          <w:sz w:val="20"/>
          <w:szCs w:val="22"/>
        </w:rPr>
        <w:t>The author declares no conflict of interest. The author is the publisher and managing editor of Russian Language Studies; editorial handling of this manuscript follows the journal’s stated conflict-of-interest procedures.</w:t>
      </w:r>
    </w:p>
    <w:p w14:paraId="792DD371" w14:textId="77777777" w:rsidR="00A03E16" w:rsidRPr="00A03E16" w:rsidRDefault="00A03E16" w:rsidP="00A03E16">
      <w:pPr>
        <w:spacing w:after="80" w:line="360" w:lineRule="auto"/>
        <w:jc w:val="both"/>
        <w:rPr>
          <w:rFonts w:cs="Arial"/>
          <w:sz w:val="22"/>
          <w:szCs w:val="22"/>
        </w:rPr>
      </w:pPr>
      <w:r w:rsidRPr="00A03E16">
        <w:rPr>
          <w:rFonts w:cs="Arial"/>
          <w:b/>
          <w:sz w:val="20"/>
          <w:szCs w:val="22"/>
        </w:rPr>
        <w:t xml:space="preserve">Data availability: </w:t>
      </w:r>
      <w:r w:rsidRPr="00A03E16">
        <w:rPr>
          <w:rFonts w:cs="Arial"/>
          <w:sz w:val="20"/>
          <w:szCs w:val="22"/>
        </w:rPr>
        <w:t>Not applicable (conceptual article).</w:t>
      </w:r>
    </w:p>
    <w:p w14:paraId="6E157F2C" w14:textId="77777777" w:rsidR="00A03E16" w:rsidRPr="00A03E16" w:rsidRDefault="00A03E16" w:rsidP="00A03E16">
      <w:pPr>
        <w:spacing w:after="160" w:line="360" w:lineRule="auto"/>
        <w:jc w:val="both"/>
        <w:rPr>
          <w:rFonts w:cs="Arial"/>
          <w:sz w:val="22"/>
          <w:szCs w:val="22"/>
        </w:rPr>
      </w:pPr>
      <w:r w:rsidRPr="00A03E16">
        <w:rPr>
          <w:rFonts w:cs="Arial"/>
          <w:b/>
          <w:sz w:val="20"/>
          <w:szCs w:val="22"/>
        </w:rPr>
        <w:t xml:space="preserve">Author contribution: </w:t>
      </w:r>
      <w:proofErr w:type="spellStart"/>
      <w:r w:rsidRPr="00A03E16">
        <w:rPr>
          <w:rFonts w:cs="Arial"/>
          <w:sz w:val="20"/>
          <w:szCs w:val="22"/>
        </w:rPr>
        <w:t>Mohammadmahdi</w:t>
      </w:r>
      <w:proofErr w:type="spellEnd"/>
      <w:r w:rsidRPr="00A03E16">
        <w:rPr>
          <w:rFonts w:cs="Arial"/>
          <w:sz w:val="20"/>
          <w:szCs w:val="22"/>
        </w:rPr>
        <w:t xml:space="preserve"> Rubin: conceptualization, literature synthesis, framework design, writing — original draft, review and editing.</w:t>
      </w:r>
    </w:p>
    <w:p w14:paraId="0B159212" w14:textId="58F30BB3" w:rsidR="00841E8C" w:rsidRDefault="00841E8C" w:rsidP="00A03E16">
      <w:pPr>
        <w:spacing w:after="60"/>
      </w:pPr>
    </w:p>
    <w:sectPr w:rsidR="00841E8C">
      <w:headerReference w:type="default" r:id="rId19"/>
      <w:footerReference w:type="default" r:id="rId2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35E03" w14:textId="77777777" w:rsidR="00D92BAE" w:rsidRDefault="00D92BAE">
      <w:r>
        <w:separator/>
      </w:r>
    </w:p>
  </w:endnote>
  <w:endnote w:type="continuationSeparator" w:id="0">
    <w:p w14:paraId="623A6BD4" w14:textId="77777777" w:rsidR="00D92BAE" w:rsidRDefault="00D9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 Nazanin">
    <w:panose1 w:val="00000400000000000000"/>
    <w:charset w:val="B2"/>
    <w:family w:val="auto"/>
    <w:pitch w:val="variable"/>
    <w:sig w:usb0="00002001" w:usb1="80000000" w:usb2="00000008" w:usb3="00000000" w:csb0="0000004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6F817" w14:textId="77777777" w:rsidR="00841E8C" w:rsidRDefault="00000000">
    <w:pPr>
      <w:pBdr>
        <w:top w:val="single" w:sz="12" w:space="1" w:color="C79A3B"/>
      </w:pBdr>
      <w:spacing w:before="80"/>
      <w:jc w:val="center"/>
    </w:pPr>
    <w:r>
      <w:rPr>
        <w:color w:val="5B1723"/>
        <w:sz w:val="14"/>
        <w:szCs w:val="14"/>
      </w:rPr>
      <w:t xml:space="preserve">Russian Language </w:t>
    </w:r>
    <w:proofErr w:type="gramStart"/>
    <w:r>
      <w:rPr>
        <w:color w:val="5B1723"/>
        <w:sz w:val="14"/>
        <w:szCs w:val="14"/>
      </w:rPr>
      <w:t>Studies  ·</w:t>
    </w:r>
    <w:proofErr w:type="gramEnd"/>
    <w:r>
      <w:rPr>
        <w:color w:val="5B1723"/>
        <w:sz w:val="14"/>
        <w:szCs w:val="14"/>
      </w:rPr>
      <w:t xml:space="preserve">  </w:t>
    </w:r>
    <w:proofErr w:type="spellStart"/>
    <w:r>
      <w:rPr>
        <w:color w:val="5B1723"/>
        <w:sz w:val="14"/>
        <w:szCs w:val="14"/>
      </w:rPr>
      <w:t>دوفصلنامه</w:t>
    </w:r>
    <w:proofErr w:type="spellEnd"/>
    <w:r>
      <w:rPr>
        <w:color w:val="5B1723"/>
        <w:sz w:val="14"/>
        <w:szCs w:val="14"/>
      </w:rPr>
      <w:t xml:space="preserve"> </w:t>
    </w:r>
    <w:proofErr w:type="spellStart"/>
    <w:r>
      <w:rPr>
        <w:color w:val="5B1723"/>
        <w:sz w:val="14"/>
        <w:szCs w:val="14"/>
      </w:rPr>
      <w:t>مطالعات</w:t>
    </w:r>
    <w:proofErr w:type="spellEnd"/>
    <w:r>
      <w:rPr>
        <w:color w:val="5B1723"/>
        <w:sz w:val="14"/>
        <w:szCs w:val="14"/>
      </w:rPr>
      <w:t xml:space="preserve"> </w:t>
    </w:r>
    <w:proofErr w:type="spellStart"/>
    <w:r>
      <w:rPr>
        <w:color w:val="5B1723"/>
        <w:sz w:val="14"/>
        <w:szCs w:val="14"/>
      </w:rPr>
      <w:t>زبان</w:t>
    </w:r>
    <w:proofErr w:type="spellEnd"/>
    <w:r>
      <w:rPr>
        <w:color w:val="5B1723"/>
        <w:sz w:val="14"/>
        <w:szCs w:val="14"/>
      </w:rPr>
      <w:t xml:space="preserve"> </w:t>
    </w:r>
    <w:proofErr w:type="spellStart"/>
    <w:r>
      <w:rPr>
        <w:color w:val="5B1723"/>
        <w:sz w:val="14"/>
        <w:szCs w:val="14"/>
      </w:rPr>
      <w:t>روسی</w:t>
    </w:r>
    <w:proofErr w:type="spellEnd"/>
  </w:p>
  <w:p w14:paraId="71286EAF" w14:textId="36277BCD" w:rsidR="00841E8C" w:rsidRDefault="00000000">
    <w:pPr>
      <w:spacing w:before="30"/>
      <w:jc w:val="center"/>
    </w:pPr>
    <w:r>
      <w:rPr>
        <w:color w:val="666666"/>
        <w:sz w:val="13"/>
        <w:szCs w:val="13"/>
      </w:rPr>
      <w:t>Ministry License No. 94254</w:t>
    </w:r>
  </w:p>
  <w:p w14:paraId="372B11BB" w14:textId="08362653" w:rsidR="00841E8C" w:rsidRDefault="00000000">
    <w:pPr>
      <w:spacing w:before="30"/>
      <w:jc w:val="center"/>
    </w:pPr>
    <w:r>
      <w:rPr>
        <w:color w:val="666666"/>
        <w:sz w:val="13"/>
        <w:szCs w:val="13"/>
      </w:rPr>
      <w:t>ISSN</w:t>
    </w:r>
    <w:r w:rsidRPr="003773BA">
      <w:rPr>
        <w:color w:val="666666"/>
        <w:sz w:val="13"/>
        <w:szCs w:val="13"/>
      </w:rPr>
      <w:t>: ................</w:t>
    </w:r>
    <w:r>
      <w:rPr>
        <w:color w:val="666666"/>
        <w:sz w:val="12"/>
        <w:szCs w:val="12"/>
      </w:rPr>
      <w:t xml:space="preserve">     |     </w:t>
    </w:r>
    <w:r>
      <w:rPr>
        <w:color w:val="666666"/>
        <w:sz w:val="13"/>
        <w:szCs w:val="13"/>
      </w:rPr>
      <w:t xml:space="preserve">Page </w:t>
    </w:r>
    <w:r>
      <w:rPr>
        <w:color w:val="666666"/>
        <w:sz w:val="13"/>
        <w:szCs w:val="13"/>
      </w:rPr>
      <w:fldChar w:fldCharType="begin"/>
    </w:r>
    <w:r>
      <w:rPr>
        <w:color w:val="666666"/>
        <w:sz w:val="13"/>
        <w:szCs w:val="13"/>
      </w:rPr>
      <w:instrText>PAGE</w:instrText>
    </w:r>
    <w:r>
      <w:rPr>
        <w:color w:val="666666"/>
        <w:sz w:val="13"/>
        <w:szCs w:val="13"/>
      </w:rPr>
      <w:fldChar w:fldCharType="separate"/>
    </w:r>
    <w:r w:rsidR="00A82D9C">
      <w:rPr>
        <w:noProof/>
        <w:color w:val="666666"/>
        <w:sz w:val="13"/>
        <w:szCs w:val="13"/>
      </w:rPr>
      <w:t>1</w:t>
    </w:r>
    <w:r>
      <w:rPr>
        <w:color w:val="666666"/>
        <w:sz w:val="13"/>
        <w:szCs w:val="13"/>
      </w:rPr>
      <w:fldChar w:fldCharType="end"/>
    </w:r>
    <w:r>
      <w:rPr>
        <w:color w:val="666666"/>
        <w:sz w:val="13"/>
        <w:szCs w:val="13"/>
      </w:rPr>
      <w:t xml:space="preserve"> of </w:t>
    </w:r>
    <w:r>
      <w:rPr>
        <w:color w:val="666666"/>
        <w:sz w:val="13"/>
        <w:szCs w:val="13"/>
      </w:rPr>
      <w:fldChar w:fldCharType="begin"/>
    </w:r>
    <w:r>
      <w:rPr>
        <w:color w:val="666666"/>
        <w:sz w:val="13"/>
        <w:szCs w:val="13"/>
      </w:rPr>
      <w:instrText>NUMPAGES</w:instrText>
    </w:r>
    <w:r>
      <w:rPr>
        <w:color w:val="666666"/>
        <w:sz w:val="13"/>
        <w:szCs w:val="13"/>
      </w:rPr>
      <w:fldChar w:fldCharType="separate"/>
    </w:r>
    <w:r w:rsidR="00A82D9C">
      <w:rPr>
        <w:noProof/>
        <w:color w:val="666666"/>
        <w:sz w:val="13"/>
        <w:szCs w:val="13"/>
      </w:rPr>
      <w:t>1</w:t>
    </w:r>
    <w:r>
      <w:rPr>
        <w:color w:val="666666"/>
        <w:sz w:val="13"/>
        <w:szCs w:val="13"/>
      </w:rPr>
      <w:fldChar w:fldCharType="end"/>
    </w:r>
  </w:p>
  <w:p w14:paraId="0A540AFA" w14:textId="0659788A" w:rsidR="00841E8C" w:rsidRPr="00915C15" w:rsidRDefault="00915C15">
    <w:pPr>
      <w:spacing w:before="30"/>
      <w:jc w:val="center"/>
      <w:rPr>
        <w:sz w:val="32"/>
        <w:szCs w:val="32"/>
      </w:rPr>
    </w:pPr>
    <w:hyperlink r:id="rId1" w:history="1">
      <w:r w:rsidRPr="00915C15">
        <w:rPr>
          <w:rStyle w:val="Hyperlink"/>
          <w:sz w:val="16"/>
          <w:szCs w:val="16"/>
        </w:rPr>
        <w:t>https://rlsj.ir</w:t>
      </w:r>
    </w:hyperlink>
    <w:r w:rsidRPr="00915C15">
      <w:rPr>
        <w:color w:val="666666"/>
        <w:sz w:val="16"/>
        <w:szCs w:val="16"/>
      </w:rPr>
      <w:t xml:space="preserve">  ·   © 2026 RLS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68864" w14:textId="77777777" w:rsidR="00D92BAE" w:rsidRDefault="00D92BAE">
      <w:r>
        <w:separator/>
      </w:r>
    </w:p>
  </w:footnote>
  <w:footnote w:type="continuationSeparator" w:id="0">
    <w:p w14:paraId="5BB31A4B" w14:textId="77777777" w:rsidR="00D92BAE" w:rsidRDefault="00D92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74D2" w14:textId="5116544E" w:rsidR="00841E8C" w:rsidRDefault="008F439B">
    <w:pPr>
      <w:spacing w:after="60"/>
      <w:jc w:val="center"/>
    </w:pPr>
    <w:r>
      <w:rPr>
        <w:noProof/>
      </w:rPr>
      <mc:AlternateContent>
        <mc:Choice Requires="wps">
          <w:drawing>
            <wp:anchor distT="0" distB="0" distL="114300" distR="114300" simplePos="0" relativeHeight="251661312" behindDoc="0" locked="0" layoutInCell="1" allowOverlap="1" wp14:anchorId="0EA3A3FD" wp14:editId="36B5EF51">
              <wp:simplePos x="0" y="0"/>
              <wp:positionH relativeFrom="column">
                <wp:posOffset>4112529</wp:posOffset>
              </wp:positionH>
              <wp:positionV relativeFrom="paragraph">
                <wp:posOffset>348794</wp:posOffset>
              </wp:positionV>
              <wp:extent cx="288174" cy="288174"/>
              <wp:effectExtent l="0" t="0" r="0" b="0"/>
              <wp:wrapNone/>
              <wp:docPr id="1778879925" name="Text Box 1"/>
              <wp:cNvGraphicFramePr/>
              <a:graphic xmlns:a="http://schemas.openxmlformats.org/drawingml/2006/main">
                <a:graphicData uri="http://schemas.microsoft.com/office/word/2010/wordprocessingShape">
                  <wps:wsp>
                    <wps:cNvSpPr txBox="1"/>
                    <wps:spPr>
                      <a:xfrm>
                        <a:off x="0" y="0"/>
                        <a:ext cx="288174" cy="288174"/>
                      </a:xfrm>
                      <a:prstGeom prst="rect">
                        <a:avLst/>
                      </a:prstGeom>
                      <a:noFill/>
                      <a:ln w="6350">
                        <a:noFill/>
                      </a:ln>
                    </wps:spPr>
                    <wps:txbx>
                      <w:txbxContent>
                        <w:p w14:paraId="1C300DFB" w14:textId="202142ED" w:rsidR="00100453" w:rsidRPr="00100453" w:rsidRDefault="00DE5AA9" w:rsidP="00100453">
                          <w:pPr>
                            <w:rPr>
                              <w:color w:val="FFFFFF" w:themeColor="background1"/>
                              <w:sz w:val="20"/>
                              <w:szCs w:val="20"/>
                            </w:rPr>
                          </w:pPr>
                          <w:r>
                            <w:rPr>
                              <w:color w:val="FFFFFF" w:themeColor="background1"/>
                              <w:sz w:val="20"/>
                              <w:szCs w:val="2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3A3FD" id="_x0000_t202" coordsize="21600,21600" o:spt="202" path="m,l,21600r21600,l21600,xe">
              <v:stroke joinstyle="miter"/>
              <v:path gradientshapeok="t" o:connecttype="rect"/>
            </v:shapetype>
            <v:shape id="Text Box 1" o:spid="_x0000_s1026" type="#_x0000_t202" style="position:absolute;left:0;text-align:left;margin-left:323.8pt;margin-top:27.45pt;width:22.7pt;height:2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" filled="f" stroked="f" strokeweight=".5pt">
              <v:textbox>
                <w:txbxContent>
                  <w:p w14:paraId="1C300DFB" w14:textId="202142ED" w:rsidR="00100453" w:rsidRPr="00100453" w:rsidRDefault="00DE5AA9" w:rsidP="00100453">
                    <w:pPr>
                      <w:rPr>
                        <w:color w:val="FFFFFF" w:themeColor="background1"/>
                        <w:sz w:val="20"/>
                        <w:szCs w:val="20"/>
                      </w:rPr>
                    </w:pPr>
                    <w:r>
                      <w:rPr>
                        <w:color w:val="FFFFFF" w:themeColor="background1"/>
                        <w:sz w:val="20"/>
                        <w:szCs w:val="20"/>
                      </w:rPr>
                      <w:t>2</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88F1A5D" wp14:editId="154F025A">
              <wp:simplePos x="0" y="0"/>
              <wp:positionH relativeFrom="column">
                <wp:posOffset>3405934</wp:posOffset>
              </wp:positionH>
              <wp:positionV relativeFrom="paragraph">
                <wp:posOffset>348937</wp:posOffset>
              </wp:positionV>
              <wp:extent cx="288174" cy="288174"/>
              <wp:effectExtent l="0" t="0" r="0" b="0"/>
              <wp:wrapNone/>
              <wp:docPr id="845181116" name="Text Box 1"/>
              <wp:cNvGraphicFramePr/>
              <a:graphic xmlns:a="http://schemas.openxmlformats.org/drawingml/2006/main">
                <a:graphicData uri="http://schemas.microsoft.com/office/word/2010/wordprocessingShape">
                  <wps:wsp>
                    <wps:cNvSpPr txBox="1"/>
                    <wps:spPr>
                      <a:xfrm>
                        <a:off x="0" y="0"/>
                        <a:ext cx="288174" cy="288174"/>
                      </a:xfrm>
                      <a:prstGeom prst="rect">
                        <a:avLst/>
                      </a:prstGeom>
                      <a:noFill/>
                      <a:ln w="6350">
                        <a:noFill/>
                      </a:ln>
                    </wps:spPr>
                    <wps:txbx>
                      <w:txbxContent>
                        <w:p w14:paraId="310810B2" w14:textId="6D5AAD07" w:rsidR="00100453" w:rsidRPr="00100453" w:rsidRDefault="00100453">
                          <w:pPr>
                            <w:rPr>
                              <w:color w:val="FFFFFF" w:themeColor="background1"/>
                              <w:sz w:val="20"/>
                              <w:szCs w:val="20"/>
                            </w:rPr>
                          </w:pPr>
                          <w:r w:rsidRPr="00100453">
                            <w:rPr>
                              <w:color w:val="FFFFFF" w:themeColor="background1"/>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F1A5D" id="_x0000_s1027" type="#_x0000_t202" style="position:absolute;left:0;text-align:left;margin-left:268.2pt;margin-top:27.5pt;width:22.7pt;height:2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" filled="f" stroked="f" strokeweight=".5pt">
              <v:textbox>
                <w:txbxContent>
                  <w:p w14:paraId="310810B2" w14:textId="6D5AAD07" w:rsidR="00100453" w:rsidRPr="00100453" w:rsidRDefault="00100453">
                    <w:pPr>
                      <w:rPr>
                        <w:color w:val="FFFFFF" w:themeColor="background1"/>
                        <w:sz w:val="20"/>
                        <w:szCs w:val="20"/>
                      </w:rPr>
                    </w:pPr>
                    <w:r w:rsidRPr="00100453">
                      <w:rPr>
                        <w:color w:val="FFFFFF" w:themeColor="background1"/>
                        <w:sz w:val="20"/>
                        <w:szCs w:val="20"/>
                      </w:rPr>
                      <w:t>1</w:t>
                    </w:r>
                  </w:p>
                </w:txbxContent>
              </v:textbox>
            </v:shape>
          </w:pict>
        </mc:Fallback>
      </mc:AlternateContent>
    </w:r>
    <w:r w:rsidR="00A675AD">
      <w:rPr>
        <w:noProof/>
      </w:rPr>
      <w:drawing>
        <wp:inline distT="0" distB="0" distL="0" distR="0" wp14:anchorId="60AD228E" wp14:editId="1C6A99F6">
          <wp:extent cx="6112747" cy="1083302"/>
          <wp:effectExtent l="0" t="0" r="2540" b="3175"/>
          <wp:docPr id="20905041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04114" name="Picture 2090504114"/>
                  <pic:cNvPicPr/>
                </pic:nvPicPr>
                <pic:blipFill rotWithShape="1">
                  <a:blip r:embed="rId1">
                    <a:extLst>
                      <a:ext uri="{28A0092B-C50C-407E-A947-70E740481C1C}">
                        <a14:useLocalDpi xmlns:a14="http://schemas.microsoft.com/office/drawing/2010/main" val="0"/>
                      </a:ext>
                    </a:extLst>
                  </a:blip>
                  <a:srcRect t="25419" b="21419"/>
                  <a:stretch>
                    <a:fillRect/>
                  </a:stretch>
                </pic:blipFill>
                <pic:spPr bwMode="auto">
                  <a:xfrm>
                    <a:off x="0" y="0"/>
                    <a:ext cx="6120130" cy="1084610"/>
                  </a:xfrm>
                  <a:prstGeom prst="rect">
                    <a:avLst/>
                  </a:prstGeom>
                  <a:ln>
                    <a:noFill/>
                  </a:ln>
                  <a:extLst>
                    <a:ext uri="{53640926-AAD7-44D8-BBD7-CCE9431645EC}">
                      <a14:shadowObscured xmlns:a14="http://schemas.microsoft.com/office/drawing/2010/main"/>
                    </a:ext>
                  </a:extLst>
                </pic:spPr>
              </pic:pic>
            </a:graphicData>
          </a:graphic>
        </wp:inline>
      </w:drawing>
    </w:r>
  </w:p>
  <w:p w14:paraId="55DBAB2D" w14:textId="215ACF35" w:rsidR="00841E8C" w:rsidRPr="008F439B" w:rsidRDefault="00000000" w:rsidP="00A82D9C">
    <w:pPr>
      <w:pBdr>
        <w:bottom w:val="single" w:sz="12" w:space="1" w:color="C79A3B"/>
      </w:pBdr>
      <w:spacing w:after="60"/>
      <w:jc w:val="center"/>
      <w:rPr>
        <w:sz w:val="22"/>
        <w:szCs w:val="22"/>
      </w:rPr>
    </w:pPr>
    <w:r w:rsidRPr="008F439B">
      <w:rPr>
        <w:b/>
        <w:bCs/>
        <w:color w:val="5B1723"/>
        <w:sz w:val="16"/>
        <w:szCs w:val="16"/>
      </w:rPr>
      <w:t xml:space="preserve">Russian Language </w:t>
    </w:r>
    <w:proofErr w:type="gramStart"/>
    <w:r w:rsidRPr="008F439B">
      <w:rPr>
        <w:b/>
        <w:bCs/>
        <w:color w:val="5B1723"/>
        <w:sz w:val="16"/>
        <w:szCs w:val="16"/>
      </w:rPr>
      <w:t>Studies</w:t>
    </w:r>
    <w:r w:rsidRPr="008F439B">
      <w:rPr>
        <w:color w:val="666666"/>
        <w:sz w:val="14"/>
        <w:szCs w:val="14"/>
      </w:rPr>
      <w:t xml:space="preserve">  |</w:t>
    </w:r>
    <w:proofErr w:type="gramEnd"/>
    <w:r w:rsidRPr="008F439B">
      <w:rPr>
        <w:color w:val="666666"/>
        <w:sz w:val="14"/>
        <w:szCs w:val="14"/>
      </w:rPr>
      <w:t xml:space="preserve">  </w:t>
    </w:r>
    <w:proofErr w:type="spellStart"/>
    <w:r w:rsidRPr="008F439B">
      <w:rPr>
        <w:rFonts w:cs="B Nazanin"/>
        <w:b/>
        <w:bCs/>
        <w:color w:val="5B1723"/>
        <w:sz w:val="16"/>
        <w:szCs w:val="16"/>
      </w:rPr>
      <w:t>دوفصلنامه</w:t>
    </w:r>
    <w:proofErr w:type="spellEnd"/>
    <w:r w:rsidRPr="008F439B">
      <w:rPr>
        <w:rFonts w:cs="B Nazanin"/>
        <w:b/>
        <w:bCs/>
        <w:color w:val="5B1723"/>
        <w:sz w:val="16"/>
        <w:szCs w:val="16"/>
      </w:rPr>
      <w:t xml:space="preserve"> </w:t>
    </w:r>
    <w:proofErr w:type="spellStart"/>
    <w:r w:rsidRPr="008F439B">
      <w:rPr>
        <w:rFonts w:cs="B Nazanin"/>
        <w:b/>
        <w:bCs/>
        <w:color w:val="5B1723"/>
        <w:sz w:val="16"/>
        <w:szCs w:val="16"/>
      </w:rPr>
      <w:t>مطالعات</w:t>
    </w:r>
    <w:proofErr w:type="spellEnd"/>
    <w:r w:rsidRPr="008F439B">
      <w:rPr>
        <w:rFonts w:cs="B Nazanin"/>
        <w:b/>
        <w:bCs/>
        <w:color w:val="5B1723"/>
        <w:sz w:val="16"/>
        <w:szCs w:val="16"/>
      </w:rPr>
      <w:t xml:space="preserve"> </w:t>
    </w:r>
    <w:proofErr w:type="spellStart"/>
    <w:r w:rsidRPr="008F439B">
      <w:rPr>
        <w:rFonts w:cs="B Nazanin"/>
        <w:b/>
        <w:bCs/>
        <w:color w:val="5B1723"/>
        <w:sz w:val="16"/>
        <w:szCs w:val="16"/>
      </w:rPr>
      <w:t>زبان</w:t>
    </w:r>
    <w:proofErr w:type="spellEnd"/>
    <w:r w:rsidRPr="008F439B">
      <w:rPr>
        <w:rFonts w:cs="B Nazanin"/>
        <w:b/>
        <w:bCs/>
        <w:color w:val="5B1723"/>
        <w:sz w:val="16"/>
        <w:szCs w:val="16"/>
      </w:rPr>
      <w:t xml:space="preserve"> </w:t>
    </w:r>
    <w:proofErr w:type="spellStart"/>
    <w:r w:rsidRPr="008F439B">
      <w:rPr>
        <w:rFonts w:cs="B Nazanin"/>
        <w:b/>
        <w:bCs/>
        <w:color w:val="5B1723"/>
        <w:sz w:val="16"/>
        <w:szCs w:val="16"/>
      </w:rPr>
      <w:t>روسی</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20A55"/>
    <w:multiLevelType w:val="hybridMultilevel"/>
    <w:tmpl w:val="67EC3558"/>
    <w:lvl w:ilvl="0" w:tplc="C1161C64">
      <w:start w:val="1"/>
      <w:numFmt w:val="bullet"/>
      <w:lvlText w:val="●"/>
      <w:lvlJc w:val="left"/>
      <w:pPr>
        <w:ind w:left="720" w:hanging="360"/>
      </w:pPr>
    </w:lvl>
    <w:lvl w:ilvl="1" w:tplc="700E6518">
      <w:start w:val="1"/>
      <w:numFmt w:val="bullet"/>
      <w:lvlText w:val="○"/>
      <w:lvlJc w:val="left"/>
      <w:pPr>
        <w:ind w:left="1440" w:hanging="360"/>
      </w:pPr>
    </w:lvl>
    <w:lvl w:ilvl="2" w:tplc="DDCA1084">
      <w:start w:val="1"/>
      <w:numFmt w:val="bullet"/>
      <w:lvlText w:val="■"/>
      <w:lvlJc w:val="left"/>
      <w:pPr>
        <w:ind w:left="2160" w:hanging="360"/>
      </w:pPr>
    </w:lvl>
    <w:lvl w:ilvl="3" w:tplc="D8165080">
      <w:start w:val="1"/>
      <w:numFmt w:val="bullet"/>
      <w:lvlText w:val="●"/>
      <w:lvlJc w:val="left"/>
      <w:pPr>
        <w:ind w:left="2880" w:hanging="360"/>
      </w:pPr>
    </w:lvl>
    <w:lvl w:ilvl="4" w:tplc="9A46E93E">
      <w:start w:val="1"/>
      <w:numFmt w:val="bullet"/>
      <w:lvlText w:val="○"/>
      <w:lvlJc w:val="left"/>
      <w:pPr>
        <w:ind w:left="3600" w:hanging="360"/>
      </w:pPr>
    </w:lvl>
    <w:lvl w:ilvl="5" w:tplc="B2CA8DE0">
      <w:start w:val="1"/>
      <w:numFmt w:val="bullet"/>
      <w:lvlText w:val="■"/>
      <w:lvlJc w:val="left"/>
      <w:pPr>
        <w:ind w:left="4320" w:hanging="360"/>
      </w:pPr>
    </w:lvl>
    <w:lvl w:ilvl="6" w:tplc="73F62860">
      <w:start w:val="1"/>
      <w:numFmt w:val="bullet"/>
      <w:lvlText w:val="●"/>
      <w:lvlJc w:val="left"/>
      <w:pPr>
        <w:ind w:left="5040" w:hanging="360"/>
      </w:pPr>
    </w:lvl>
    <w:lvl w:ilvl="7" w:tplc="4CE66FF8">
      <w:start w:val="1"/>
      <w:numFmt w:val="bullet"/>
      <w:lvlText w:val="●"/>
      <w:lvlJc w:val="left"/>
      <w:pPr>
        <w:ind w:left="5760" w:hanging="360"/>
      </w:pPr>
    </w:lvl>
    <w:lvl w:ilvl="8" w:tplc="1940F84A">
      <w:start w:val="1"/>
      <w:numFmt w:val="bullet"/>
      <w:lvlText w:val="●"/>
      <w:lvlJc w:val="left"/>
      <w:pPr>
        <w:ind w:left="6480" w:hanging="360"/>
      </w:pPr>
    </w:lvl>
  </w:abstractNum>
  <w:abstractNum w:abstractNumId="1" w15:restartNumberingAfterBreak="0">
    <w:nsid w:val="31CB6E04"/>
    <w:multiLevelType w:val="hybridMultilevel"/>
    <w:tmpl w:val="A5902DCE"/>
    <w:lvl w:ilvl="0" w:tplc="0409000F">
      <w:start w:val="1"/>
      <w:numFmt w:val="decimal"/>
      <w:lvlText w:val="%1."/>
      <w:lvlJc w:val="left"/>
      <w:pPr>
        <w:ind w:left="720" w:hanging="360"/>
      </w:pPr>
      <w:rPr>
        <w:rFonts w:ascii="Times New Roman" w:eastAsia="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EF0146"/>
    <w:multiLevelType w:val="hybridMultilevel"/>
    <w:tmpl w:val="E6F4CDAE"/>
    <w:lvl w:ilvl="0" w:tplc="3F04F79E">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6750424">
    <w:abstractNumId w:val="0"/>
    <w:lvlOverride w:ilvl="0">
      <w:startOverride w:val="1"/>
    </w:lvlOverride>
  </w:num>
  <w:num w:numId="2" w16cid:durableId="42953135">
    <w:abstractNumId w:val="2"/>
  </w:num>
  <w:num w:numId="3" w16cid:durableId="500241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E8C"/>
    <w:rsid w:val="00002C41"/>
    <w:rsid w:val="00030DCF"/>
    <w:rsid w:val="000F27B7"/>
    <w:rsid w:val="000F5DBD"/>
    <w:rsid w:val="00100453"/>
    <w:rsid w:val="001322DD"/>
    <w:rsid w:val="002345FF"/>
    <w:rsid w:val="002C0BB3"/>
    <w:rsid w:val="002D396E"/>
    <w:rsid w:val="003773BA"/>
    <w:rsid w:val="003C7409"/>
    <w:rsid w:val="005C1233"/>
    <w:rsid w:val="005D5597"/>
    <w:rsid w:val="0062391A"/>
    <w:rsid w:val="00632E4D"/>
    <w:rsid w:val="006D3FE6"/>
    <w:rsid w:val="006D59F0"/>
    <w:rsid w:val="006F4CEE"/>
    <w:rsid w:val="00712F62"/>
    <w:rsid w:val="00715346"/>
    <w:rsid w:val="007C7B25"/>
    <w:rsid w:val="007F5A7C"/>
    <w:rsid w:val="00841E8C"/>
    <w:rsid w:val="00850E38"/>
    <w:rsid w:val="008744D9"/>
    <w:rsid w:val="008D6294"/>
    <w:rsid w:val="008E3D1B"/>
    <w:rsid w:val="008F439B"/>
    <w:rsid w:val="0090004A"/>
    <w:rsid w:val="0091354C"/>
    <w:rsid w:val="00914262"/>
    <w:rsid w:val="00915C15"/>
    <w:rsid w:val="009418F8"/>
    <w:rsid w:val="009C5E71"/>
    <w:rsid w:val="009E5B2E"/>
    <w:rsid w:val="00A03E16"/>
    <w:rsid w:val="00A10F88"/>
    <w:rsid w:val="00A24889"/>
    <w:rsid w:val="00A57DA5"/>
    <w:rsid w:val="00A61481"/>
    <w:rsid w:val="00A675AD"/>
    <w:rsid w:val="00A82D9C"/>
    <w:rsid w:val="00AE0076"/>
    <w:rsid w:val="00B2016B"/>
    <w:rsid w:val="00BD1735"/>
    <w:rsid w:val="00BF111F"/>
    <w:rsid w:val="00C45D15"/>
    <w:rsid w:val="00CA5CF1"/>
    <w:rsid w:val="00CB1282"/>
    <w:rsid w:val="00D92BAE"/>
    <w:rsid w:val="00DE18B7"/>
    <w:rsid w:val="00DE3E8D"/>
    <w:rsid w:val="00DE5AA9"/>
    <w:rsid w:val="00E422C8"/>
    <w:rsid w:val="00E52844"/>
    <w:rsid w:val="00F62B4C"/>
    <w:rsid w:val="00F77E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E51CC"/>
  <w15:docId w15:val="{3827CD49-5EF4-4555-B122-4019B018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40"/>
      <w:outlineLvl w:val="0"/>
    </w:pPr>
    <w:rPr>
      <w:b/>
      <w:bCs/>
      <w:color w:val="5B1723"/>
      <w:sz w:val="26"/>
      <w:szCs w:val="26"/>
    </w:rPr>
  </w:style>
  <w:style w:type="paragraph" w:styleId="Heading2">
    <w:name w:val="heading 2"/>
    <w:uiPriority w:val="9"/>
    <w:semiHidden/>
    <w:unhideWhenUsed/>
    <w:qFormat/>
    <w:pPr>
      <w:spacing w:before="220" w:after="100"/>
      <w:outlineLvl w:val="1"/>
    </w:pPr>
    <w:rPr>
      <w:b/>
      <w:bCs/>
      <w:color w:val="8B2635"/>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82D9C"/>
    <w:pPr>
      <w:tabs>
        <w:tab w:val="center" w:pos="4680"/>
        <w:tab w:val="right" w:pos="9360"/>
      </w:tabs>
    </w:pPr>
  </w:style>
  <w:style w:type="character" w:customStyle="1" w:styleId="HeaderChar">
    <w:name w:val="Header Char"/>
    <w:basedOn w:val="DefaultParagraphFont"/>
    <w:link w:val="Header"/>
    <w:uiPriority w:val="99"/>
    <w:rsid w:val="00A82D9C"/>
  </w:style>
  <w:style w:type="paragraph" w:styleId="Footer">
    <w:name w:val="footer"/>
    <w:basedOn w:val="Normal"/>
    <w:link w:val="FooterChar"/>
    <w:uiPriority w:val="99"/>
    <w:unhideWhenUsed/>
    <w:rsid w:val="00A82D9C"/>
    <w:pPr>
      <w:tabs>
        <w:tab w:val="center" w:pos="4680"/>
        <w:tab w:val="right" w:pos="9360"/>
      </w:tabs>
    </w:pPr>
  </w:style>
  <w:style w:type="character" w:customStyle="1" w:styleId="FooterChar">
    <w:name w:val="Footer Char"/>
    <w:basedOn w:val="DefaultParagraphFont"/>
    <w:link w:val="Footer"/>
    <w:uiPriority w:val="99"/>
    <w:rsid w:val="00A82D9C"/>
  </w:style>
  <w:style w:type="character" w:styleId="UnresolvedMention">
    <w:name w:val="Unresolved Mention"/>
    <w:basedOn w:val="DefaultParagraphFont"/>
    <w:uiPriority w:val="99"/>
    <w:semiHidden/>
    <w:unhideWhenUsed/>
    <w:rsid w:val="008D6294"/>
    <w:rPr>
      <w:color w:val="605E5C"/>
      <w:shd w:val="clear" w:color="auto" w:fill="E1DFDD"/>
    </w:rPr>
  </w:style>
  <w:style w:type="table" w:styleId="TableGrid">
    <w:name w:val="Table Grid"/>
    <w:basedOn w:val="TableNormal"/>
    <w:uiPriority w:val="39"/>
    <w:rsid w:val="00E42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rcid.org/0009-0004-8475-2804" TargetMode="External"/><Relationship Id="rId13" Type="http://schemas.openxmlformats.org/officeDocument/2006/relationships/hyperlink" Target="mailto:mm.rubin@ut.ac.ir" TargetMode="External"/><Relationship Id="rId18" Type="http://schemas.openxmlformats.org/officeDocument/2006/relationships/hyperlink" Target="https://doi.org/10.1186/s41239-019-0171-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rathyaksh.j@gmail.com"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creativecommons.org/licenses/by/4.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kafshgari@gmail.com" TargetMode="External"/><Relationship Id="rId5" Type="http://schemas.openxmlformats.org/officeDocument/2006/relationships/webSettings" Target="webSettings.xml"/><Relationship Id="rId15" Type="http://schemas.openxmlformats.org/officeDocument/2006/relationships/image" Target="media/image2.svg"/><Relationship Id="rId10" Type="http://schemas.openxmlformats.org/officeDocument/2006/relationships/hyperlink" Target="https://orcid.org/0009-0004-8475-280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m.rubin@ut.ac.ir" TargetMode="External"/><Relationship Id="rId14" Type="http://schemas.openxmlformats.org/officeDocument/2006/relationships/image" Target="media/image1.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rlsj.ir/en/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74F32-02DD-4F21-94FE-B50A6E649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1611</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Sheragin</cp:lastModifiedBy>
  <cp:revision>3</cp:revision>
  <cp:lastPrinted>2026-09-26T12:41:00Z</cp:lastPrinted>
  <dcterms:created xsi:type="dcterms:W3CDTF">2026-11-02T13:22:00Z</dcterms:created>
  <dcterms:modified xsi:type="dcterms:W3CDTF">2026-11-02T13:36:00Z</dcterms:modified>
</cp:coreProperties>
</file>